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87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78"/>
        <w:gridCol w:w="5386"/>
        <w:gridCol w:w="3841"/>
      </w:tblGrid>
      <w:tr w:rsidR="0053622E" w:rsidRPr="003E1F5A" w14:paraId="7C1C0D88" w14:textId="77777777" w:rsidTr="003455D4">
        <w:trPr>
          <w:tblHeader/>
          <w:jc w:val="center"/>
        </w:trPr>
        <w:tc>
          <w:tcPr>
            <w:tcW w:w="3118" w:type="pct"/>
            <w:gridSpan w:val="2"/>
            <w:tcBorders>
              <w:top w:val="single" w:sz="12" w:space="0" w:color="auto"/>
              <w:bottom w:val="single" w:sz="4" w:space="0" w:color="auto"/>
            </w:tcBorders>
            <w:vAlign w:val="center"/>
          </w:tcPr>
          <w:p w14:paraId="5FA8A380"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決議、附帶決議及注意事項</w:t>
            </w:r>
          </w:p>
        </w:tc>
        <w:tc>
          <w:tcPr>
            <w:tcW w:w="1882" w:type="pct"/>
            <w:vMerge w:val="restart"/>
            <w:tcBorders>
              <w:top w:val="single" w:sz="12" w:space="0" w:color="auto"/>
              <w:bottom w:val="single" w:sz="8" w:space="0" w:color="auto"/>
            </w:tcBorders>
          </w:tcPr>
          <w:p w14:paraId="22D5B8B7" w14:textId="402DB381" w:rsidR="0053622E" w:rsidRPr="003E1F5A" w:rsidRDefault="0053622E" w:rsidP="00FC75A0">
            <w:pPr>
              <w:spacing w:line="340" w:lineRule="exact"/>
              <w:jc w:val="center"/>
              <w:rPr>
                <w:rFonts w:ascii="標楷體" w:eastAsia="標楷體" w:hAnsi="標楷體"/>
                <w:color w:val="000000" w:themeColor="text1"/>
                <w:sz w:val="22"/>
                <w:szCs w:val="22"/>
              </w:rPr>
            </w:pPr>
            <w:r w:rsidRPr="003455D4">
              <w:rPr>
                <w:rFonts w:ascii="標楷體" w:eastAsia="標楷體" w:hAnsi="標楷體" w:hint="eastAsia"/>
                <w:color w:val="000000" w:themeColor="text1"/>
                <w:spacing w:val="220"/>
                <w:kern w:val="0"/>
                <w:sz w:val="22"/>
                <w:szCs w:val="22"/>
                <w:fitText w:val="2200" w:id="-671995904"/>
              </w:rPr>
              <w:t>辦理情</w:t>
            </w:r>
            <w:r w:rsidRPr="003455D4">
              <w:rPr>
                <w:rFonts w:ascii="標楷體" w:eastAsia="標楷體" w:hAnsi="標楷體" w:hint="eastAsia"/>
                <w:color w:val="000000" w:themeColor="text1"/>
                <w:kern w:val="0"/>
                <w:sz w:val="22"/>
                <w:szCs w:val="22"/>
                <w:fitText w:val="2200" w:id="-671995904"/>
              </w:rPr>
              <w:t>形</w:t>
            </w:r>
          </w:p>
        </w:tc>
      </w:tr>
      <w:tr w:rsidR="0053622E" w:rsidRPr="003E1F5A" w14:paraId="04825449" w14:textId="77777777" w:rsidTr="0053622E">
        <w:trPr>
          <w:tblHeader/>
          <w:jc w:val="center"/>
        </w:trPr>
        <w:tc>
          <w:tcPr>
            <w:tcW w:w="479" w:type="pct"/>
            <w:tcBorders>
              <w:top w:val="single" w:sz="4" w:space="0" w:color="auto"/>
              <w:bottom w:val="single" w:sz="8" w:space="0" w:color="auto"/>
            </w:tcBorders>
            <w:vAlign w:val="center"/>
          </w:tcPr>
          <w:p w14:paraId="5B401E6E"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項次</w:t>
            </w:r>
          </w:p>
        </w:tc>
        <w:tc>
          <w:tcPr>
            <w:tcW w:w="2639" w:type="pct"/>
            <w:tcBorders>
              <w:top w:val="single" w:sz="4" w:space="0" w:color="auto"/>
              <w:bottom w:val="single" w:sz="8" w:space="0" w:color="auto"/>
            </w:tcBorders>
            <w:vAlign w:val="center"/>
          </w:tcPr>
          <w:p w14:paraId="45DC3DE6"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內容</w:t>
            </w:r>
          </w:p>
        </w:tc>
        <w:tc>
          <w:tcPr>
            <w:tcW w:w="1882" w:type="pct"/>
            <w:vMerge/>
            <w:tcBorders>
              <w:top w:val="single" w:sz="8" w:space="0" w:color="auto"/>
              <w:bottom w:val="single" w:sz="8" w:space="0" w:color="auto"/>
            </w:tcBorders>
          </w:tcPr>
          <w:p w14:paraId="768C6EC4" w14:textId="6A78AEC7"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776F7AB0" w14:textId="77777777" w:rsidTr="0053622E">
        <w:trPr>
          <w:trHeight w:val="421"/>
          <w:jc w:val="center"/>
        </w:trPr>
        <w:tc>
          <w:tcPr>
            <w:tcW w:w="479" w:type="pct"/>
            <w:tcBorders>
              <w:top w:val="single" w:sz="8" w:space="0" w:color="auto"/>
            </w:tcBorders>
            <w:vAlign w:val="center"/>
          </w:tcPr>
          <w:p w14:paraId="16E82A65" w14:textId="77777777" w:rsidR="0053622E" w:rsidRPr="003E1F5A" w:rsidRDefault="0053622E" w:rsidP="0055731F">
            <w:pPr>
              <w:spacing w:line="340" w:lineRule="exact"/>
              <w:jc w:val="center"/>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一、</w:t>
            </w:r>
          </w:p>
        </w:tc>
        <w:tc>
          <w:tcPr>
            <w:tcW w:w="2639" w:type="pct"/>
            <w:tcBorders>
              <w:top w:val="single" w:sz="8" w:space="0" w:color="auto"/>
            </w:tcBorders>
            <w:vAlign w:val="center"/>
          </w:tcPr>
          <w:p w14:paraId="63AF2F2B" w14:textId="77777777" w:rsidR="0053622E" w:rsidRPr="003E1F5A" w:rsidRDefault="0053622E" w:rsidP="0055731F">
            <w:pPr>
              <w:spacing w:line="340" w:lineRule="exact"/>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通案決議部分：</w:t>
            </w:r>
          </w:p>
        </w:tc>
        <w:tc>
          <w:tcPr>
            <w:tcW w:w="1882" w:type="pct"/>
            <w:tcBorders>
              <w:top w:val="single" w:sz="8" w:space="0" w:color="auto"/>
            </w:tcBorders>
          </w:tcPr>
          <w:p w14:paraId="7CAC4211" w14:textId="53B853DB"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4D9AE5A5" w14:textId="77777777" w:rsidTr="0053622E">
        <w:trPr>
          <w:trHeight w:val="421"/>
          <w:jc w:val="center"/>
        </w:trPr>
        <w:tc>
          <w:tcPr>
            <w:tcW w:w="479" w:type="pct"/>
            <w:tcBorders>
              <w:top w:val="single" w:sz="8" w:space="0" w:color="auto"/>
            </w:tcBorders>
          </w:tcPr>
          <w:p w14:paraId="73E0862E" w14:textId="51854C43" w:rsidR="0053622E" w:rsidRPr="003E1F5A" w:rsidRDefault="0053622E" w:rsidP="00AE4EE7">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w:t>
            </w:r>
            <w:proofErr w:type="gramStart"/>
            <w:r w:rsidRPr="003E1F5A">
              <w:rPr>
                <w:rFonts w:ascii="標楷體" w:eastAsia="標楷體" w:hAnsi="標楷體" w:hint="eastAsia"/>
                <w:color w:val="000000" w:themeColor="text1"/>
                <w:sz w:val="22"/>
                <w:szCs w:val="22"/>
              </w:rPr>
              <w:t>一</w:t>
            </w:r>
            <w:proofErr w:type="gramEnd"/>
            <w:r w:rsidRPr="003E1F5A">
              <w:rPr>
                <w:rFonts w:ascii="標楷體" w:eastAsia="標楷體" w:hAnsi="標楷體" w:hint="eastAsia"/>
                <w:color w:val="000000" w:themeColor="text1"/>
                <w:sz w:val="22"/>
                <w:szCs w:val="22"/>
              </w:rPr>
              <w:t>)</w:t>
            </w:r>
          </w:p>
        </w:tc>
        <w:tc>
          <w:tcPr>
            <w:tcW w:w="2639" w:type="pct"/>
            <w:tcBorders>
              <w:top w:val="single" w:sz="8" w:space="0" w:color="auto"/>
            </w:tcBorders>
            <w:vAlign w:val="center"/>
          </w:tcPr>
          <w:p w14:paraId="74D53BEE" w14:textId="4F0BFD42"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針對中央各機關及所屬通案</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減用途别項目如下</w:t>
            </w:r>
            <w:r w:rsidRPr="003E1F5A">
              <w:rPr>
                <w:rFonts w:ascii="標楷體" w:eastAsia="標楷體" w:hAnsi="標楷體"/>
                <w:color w:val="000000" w:themeColor="text1"/>
                <w:sz w:val="22"/>
                <w:szCs w:val="22"/>
              </w:rPr>
              <w:t>:</w:t>
            </w:r>
          </w:p>
          <w:p w14:paraId="65942C5B" w14:textId="2589548C"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1.大陸地區旅費:除現行法律明文規定支出不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外，數位發展部、國家通訊傳播委員會全數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中央研究院與國家科學及技術委員會、警政署及所屬、移民署統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30%;</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80%，</w:t>
            </w:r>
            <w:r w:rsidRPr="003E1F5A">
              <w:rPr>
                <w:rFonts w:ascii="標楷體" w:eastAsia="標楷體" w:hAnsi="標楷體" w:hint="eastAsia"/>
                <w:color w:val="000000" w:themeColor="text1"/>
                <w:sz w:val="22"/>
                <w:szCs w:val="22"/>
              </w:rPr>
              <w:t>其中國立故宮博物院、大陸委員</w:t>
            </w:r>
            <w:r>
              <w:rPr>
                <w:rFonts w:ascii="標楷體" w:eastAsia="標楷體" w:hAnsi="標楷體" w:hint="eastAsia"/>
                <w:color w:val="000000" w:themeColor="text1"/>
                <w:sz w:val="22"/>
                <w:szCs w:val="22"/>
              </w:rPr>
              <w:t>會</w:t>
            </w:r>
            <w:r w:rsidRPr="003E1F5A">
              <w:rPr>
                <w:rFonts w:ascii="標楷體" w:eastAsia="標楷體" w:hAnsi="標楷體" w:hint="eastAsia"/>
                <w:color w:val="000000" w:themeColor="text1"/>
                <w:sz w:val="22"/>
                <w:szCs w:val="22"/>
              </w:rPr>
              <w:t>、教育部、國民及學前教育署、體育署、國家圖書</w:t>
            </w:r>
            <w:r>
              <w:rPr>
                <w:rFonts w:ascii="標楷體" w:eastAsia="標楷體" w:hAnsi="標楷體" w:hint="eastAsia"/>
                <w:color w:val="000000" w:themeColor="text1"/>
                <w:sz w:val="22"/>
                <w:szCs w:val="22"/>
              </w:rPr>
              <w:t>館</w:t>
            </w:r>
            <w:r w:rsidRPr="003E1F5A">
              <w:rPr>
                <w:rFonts w:ascii="標楷體" w:eastAsia="標楷體" w:hAnsi="標楷體" w:hint="eastAsia"/>
                <w:color w:val="000000" w:themeColor="text1"/>
                <w:sz w:val="22"/>
                <w:szCs w:val="22"/>
              </w:rPr>
              <w:t>、國家教育研究院、臺灣高等檢察署、調查局、疾病管制署、食品藥物管理署、海巡署及所屬改以其他項目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46D2ED6" w14:textId="5D43FAF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2.</w:t>
            </w:r>
            <w:r w:rsidRPr="003E1F5A">
              <w:rPr>
                <w:rFonts w:ascii="標楷體" w:eastAsia="標楷體" w:hAnsi="標楷體" w:hint="eastAsia"/>
                <w:color w:val="000000" w:themeColor="text1"/>
                <w:sz w:val="22"/>
                <w:szCs w:val="22"/>
              </w:rPr>
              <w:t>國外旅費及出國教育訓練費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數位發展部、國家通訊傳播委員會及監察院全數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外交部、領事事務局、國家安全會議、國防部、國防部及所屬、警政署及所屬、消防署及所屬、體育署、移民署、建築研究所、空中勤務總隊、海巡署及所屬、中央警察大學、中央研究院、青年發展署、僑務委員會、新竹科學園區管理局、中部科學園區管理局、南部科學園區管理局、國家科學及技術委員會、</w:t>
            </w:r>
            <w:proofErr w:type="gramStart"/>
            <w:r w:rsidRPr="003E1F5A">
              <w:rPr>
                <w:rFonts w:ascii="標楷體" w:eastAsia="標楷體" w:hAnsi="標楷體" w:hint="eastAsia"/>
                <w:color w:val="000000" w:themeColor="text1"/>
                <w:sz w:val="22"/>
                <w:szCs w:val="22"/>
              </w:rPr>
              <w:t>審計部與調查局</w:t>
            </w:r>
            <w:proofErr w:type="gramEnd"/>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均不得流用</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總統府、行政院、公務人力發展學院、國家發展委員會、核能安全委員會及所屬、國家文官學院及所屬、教育部、國民及學前教育署、國家圖書館、國立公共資訊圖書館、國家教育研究院、交通部、民用航空局、中</w:t>
            </w:r>
            <w:r>
              <w:rPr>
                <w:rFonts w:ascii="標楷體" w:eastAsia="標楷體" w:hAnsi="標楷體" w:hint="eastAsia"/>
                <w:color w:val="000000" w:themeColor="text1"/>
                <w:sz w:val="22"/>
                <w:szCs w:val="22"/>
              </w:rPr>
              <w:t>央</w:t>
            </w:r>
            <w:r w:rsidRPr="003E1F5A">
              <w:rPr>
                <w:rFonts w:ascii="標楷體" w:eastAsia="標楷體" w:hAnsi="標楷體" w:hint="eastAsia"/>
                <w:color w:val="000000" w:themeColor="text1"/>
                <w:sz w:val="22"/>
                <w:szCs w:val="22"/>
              </w:rPr>
              <w:t>氣象署、漁業署及所屬、動植物防疫檢疫署及所屬、農業金融署、</w:t>
            </w:r>
            <w:proofErr w:type="gramStart"/>
            <w:r w:rsidRPr="003E1F5A">
              <w:rPr>
                <w:rFonts w:ascii="標楷體" w:eastAsia="標楷體" w:hAnsi="標楷體" w:hint="eastAsia"/>
                <w:color w:val="000000" w:themeColor="text1"/>
                <w:sz w:val="22"/>
                <w:szCs w:val="22"/>
              </w:rPr>
              <w:t>農糧署及</w:t>
            </w:r>
            <w:proofErr w:type="gramEnd"/>
            <w:r w:rsidRPr="003E1F5A">
              <w:rPr>
                <w:rFonts w:ascii="標楷體" w:eastAsia="標楷體" w:hAnsi="標楷體" w:hint="eastAsia"/>
                <w:color w:val="000000" w:themeColor="text1"/>
                <w:sz w:val="22"/>
                <w:szCs w:val="22"/>
              </w:rPr>
              <w:t>所屬、疾病管制署、食品藥物管理署、中央健康</w:t>
            </w:r>
            <w:proofErr w:type="gramStart"/>
            <w:r w:rsidRPr="003E1F5A">
              <w:rPr>
                <w:rFonts w:ascii="標楷體" w:eastAsia="標楷體" w:hAnsi="標楷體" w:hint="eastAsia"/>
                <w:color w:val="000000" w:themeColor="text1"/>
                <w:sz w:val="22"/>
                <w:szCs w:val="22"/>
              </w:rPr>
              <w:t>保險署</w:t>
            </w:r>
            <w:proofErr w:type="gramEnd"/>
            <w:r w:rsidRPr="003E1F5A">
              <w:rPr>
                <w:rFonts w:ascii="標楷體" w:eastAsia="標楷體" w:hAnsi="標楷體" w:hint="eastAsia"/>
                <w:color w:val="000000" w:themeColor="text1"/>
                <w:sz w:val="22"/>
                <w:szCs w:val="22"/>
              </w:rPr>
              <w:t>、國民</w:t>
            </w:r>
            <w:proofErr w:type="gramStart"/>
            <w:r w:rsidRPr="003E1F5A">
              <w:rPr>
                <w:rFonts w:ascii="標楷體" w:eastAsia="標楷體" w:hAnsi="標楷體" w:hint="eastAsia"/>
                <w:color w:val="000000" w:themeColor="text1"/>
                <w:sz w:val="22"/>
                <w:szCs w:val="22"/>
              </w:rPr>
              <w:t>健康署</w:t>
            </w:r>
            <w:proofErr w:type="gramEnd"/>
            <w:r w:rsidRPr="003E1F5A">
              <w:rPr>
                <w:rFonts w:ascii="標楷體" w:eastAsia="標楷體" w:hAnsi="標楷體" w:hint="eastAsia"/>
                <w:color w:val="000000" w:themeColor="text1"/>
                <w:sz w:val="22"/>
                <w:szCs w:val="22"/>
              </w:rPr>
              <w:t>、社會及家庭署、氣候變</w:t>
            </w:r>
            <w:r>
              <w:rPr>
                <w:rFonts w:ascii="標楷體" w:eastAsia="標楷體" w:hAnsi="標楷體" w:hint="eastAsia"/>
                <w:color w:val="000000" w:themeColor="text1"/>
                <w:sz w:val="22"/>
                <w:szCs w:val="22"/>
              </w:rPr>
              <w:t>遷</w:t>
            </w:r>
            <w:r w:rsidRPr="003E1F5A">
              <w:rPr>
                <w:rFonts w:ascii="標楷體" w:eastAsia="標楷體" w:hAnsi="標楷體" w:hint="eastAsia"/>
                <w:color w:val="000000" w:themeColor="text1"/>
                <w:sz w:val="22"/>
                <w:szCs w:val="22"/>
              </w:rPr>
              <w:t>署、資源循環署、化學物質管理署、環境管理署、國家環境研究院、金融監督管理委員會、海洋委員會、海洋保育署、國家海洋研究院改以其他項目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F52BCC7" w14:textId="2E2F1864"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國内旅費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中央研究院、國家科學及技術委員會與審計部統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20%，</w:t>
            </w:r>
            <w:r w:rsidRPr="003E1F5A">
              <w:rPr>
                <w:rFonts w:ascii="標楷體" w:eastAsia="標楷體" w:hAnsi="標楷體" w:hint="eastAsia"/>
                <w:color w:val="000000" w:themeColor="text1"/>
                <w:sz w:val="22"/>
                <w:szCs w:val="22"/>
              </w:rPr>
              <w:t>均不得流用。</w:t>
            </w:r>
          </w:p>
          <w:p w14:paraId="1F7F62B3" w14:textId="3516B27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4.水電費:統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10%(教育部所屬各級學校及各級公共圖書館、博物館、美術館、中央研究院、新竹科學園區管理局、中部科學園區管理局、南部科學園區管理局除外)。</w:t>
            </w:r>
          </w:p>
          <w:p w14:paraId="5FE57219" w14:textId="161B8B65"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特别</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其中行院及所屬、大陸委員會、原住民族委員會、內政部、農業部、數位發展部、國家通訊傳播委員會、法務部、</w:t>
            </w:r>
            <w:r>
              <w:rPr>
                <w:rFonts w:ascii="標楷體" w:eastAsia="標楷體" w:hAnsi="標楷體" w:hint="eastAsia"/>
                <w:color w:val="000000" w:themeColor="text1"/>
                <w:sz w:val="22"/>
                <w:szCs w:val="22"/>
              </w:rPr>
              <w:t>銓敘</w:t>
            </w:r>
            <w:r w:rsidRPr="003E1F5A">
              <w:rPr>
                <w:rFonts w:ascii="標楷體" w:eastAsia="標楷體" w:hAnsi="標楷體" w:hint="eastAsia"/>
                <w:color w:val="000000" w:themeColor="text1"/>
                <w:sz w:val="22"/>
                <w:szCs w:val="22"/>
              </w:rPr>
              <w:t>部、監察院、勞動部全數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均不得流用。</w:t>
            </w:r>
          </w:p>
          <w:p w14:paraId="241042D1" w14:textId="32188D6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6.減列房屋建築養護費、車輛及辦公器具養護費、設施及機械設備養護</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其中主計總處、人事行</w:t>
            </w:r>
            <w:r>
              <w:rPr>
                <w:rFonts w:ascii="標楷體" w:eastAsia="標楷體" w:hAnsi="標楷體" w:hint="eastAsia"/>
                <w:color w:val="000000" w:themeColor="text1"/>
                <w:sz w:val="22"/>
                <w:szCs w:val="22"/>
              </w:rPr>
              <w:t>政總處</w:t>
            </w:r>
            <w:r w:rsidRPr="003E1F5A">
              <w:rPr>
                <w:rFonts w:ascii="標楷體" w:eastAsia="標楷體" w:hAnsi="標楷體" w:hint="eastAsia"/>
                <w:color w:val="000000" w:themeColor="text1"/>
                <w:sz w:val="22"/>
                <w:szCs w:val="22"/>
              </w:rPr>
              <w:t>、國立故</w:t>
            </w:r>
            <w:r>
              <w:rPr>
                <w:rFonts w:ascii="標楷體" w:eastAsia="標楷體" w:hAnsi="標楷體" w:hint="eastAsia"/>
                <w:color w:val="000000" w:themeColor="text1"/>
                <w:sz w:val="22"/>
                <w:szCs w:val="22"/>
              </w:rPr>
              <w:t>宮</w:t>
            </w:r>
            <w:r w:rsidRPr="003E1F5A">
              <w:rPr>
                <w:rFonts w:ascii="標楷體" w:eastAsia="標楷體" w:hAnsi="標楷體" w:hint="eastAsia"/>
                <w:color w:val="000000" w:themeColor="text1"/>
                <w:sz w:val="22"/>
                <w:szCs w:val="22"/>
              </w:rPr>
              <w:t>博物院、檔案管理局、司法院、最高法院、最高行政法院、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產及商業法院、臺灣高等法院、臺灣高等法院臺中分院、臺灣高等法院壹南分院、臺灣高等法院高雄分院、臺灣高等法院花蓮分院、臺灣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w:t>
            </w:r>
            <w:r>
              <w:rPr>
                <w:rFonts w:ascii="標楷體" w:eastAsia="標楷體" w:hAnsi="標楷體" w:hint="eastAsia"/>
                <w:color w:val="000000" w:themeColor="text1"/>
                <w:sz w:val="22"/>
                <w:szCs w:val="22"/>
              </w:rPr>
              <w:t>園</w:t>
            </w:r>
            <w:r w:rsidRPr="003E1F5A">
              <w:rPr>
                <w:rFonts w:ascii="標楷體" w:eastAsia="標楷體" w:hAnsi="標楷體" w:hint="eastAsia"/>
                <w:color w:val="000000" w:themeColor="text1"/>
                <w:sz w:val="22"/>
                <w:szCs w:val="22"/>
              </w:rPr>
              <w:t>地方法院、臺灣新竹地方法院、臺灣苗栗地方法院、臺灣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w:t>
            </w:r>
            <w:r>
              <w:rPr>
                <w:rFonts w:ascii="標楷體" w:eastAsia="標楷體" w:hAnsi="標楷體" w:hint="eastAsia"/>
                <w:color w:val="000000" w:themeColor="text1"/>
                <w:sz w:val="22"/>
                <w:szCs w:val="22"/>
              </w:rPr>
              <w:t>橋</w:t>
            </w:r>
            <w:r w:rsidRPr="003E1F5A">
              <w:rPr>
                <w:rFonts w:ascii="標楷體" w:eastAsia="標楷體" w:hAnsi="標楷體" w:hint="eastAsia"/>
                <w:color w:val="000000" w:themeColor="text1"/>
                <w:sz w:val="22"/>
                <w:szCs w:val="22"/>
              </w:rPr>
              <w:t>頭地方法院、臺灣高雄地方法院、臺灣屏東地方法院、臺灣</w:t>
            </w:r>
            <w:proofErr w:type="gramStart"/>
            <w:r>
              <w:rPr>
                <w:rFonts w:ascii="標楷體" w:eastAsia="標楷體" w:hAnsi="標楷體" w:hint="eastAsia"/>
                <w:color w:val="000000" w:themeColor="text1"/>
                <w:sz w:val="22"/>
                <w:szCs w:val="22"/>
              </w:rPr>
              <w:t>臺</w:t>
            </w:r>
            <w:proofErr w:type="gramEnd"/>
            <w:r>
              <w:rPr>
                <w:rFonts w:ascii="標楷體" w:eastAsia="標楷體" w:hAnsi="標楷體" w:hint="eastAsia"/>
                <w:color w:val="000000" w:themeColor="text1"/>
                <w:sz w:val="22"/>
                <w:szCs w:val="22"/>
              </w:rPr>
              <w:t>東</w:t>
            </w:r>
            <w:r w:rsidRPr="003E1F5A">
              <w:rPr>
                <w:rFonts w:ascii="標楷體" w:eastAsia="標楷體" w:hAnsi="標楷體" w:hint="eastAsia"/>
                <w:color w:val="000000" w:themeColor="text1"/>
                <w:sz w:val="22"/>
                <w:szCs w:val="22"/>
              </w:rPr>
              <w:t>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警政署及所屬、中央警察大學、消防署及所屬、移民署、建築研究所、外交部、國防部所屬、關務署及所屬、教育部、國民及學前教育署、體育署、國家圖書館、國立公共資訊圖書館、國立教育廣播電臺、國家教育研究院、司法官學院、法醫研究所、最高檢察署、臺灣高等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南檢察分署、臺灣高等檢察署高雄檢察分署、臺灣高等檢察署花蓮檢察分署、臺灣高等檢察署智慧財產檢察分署、臺灣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北地方檢察署、臺灣士林地方檢察署、臺灣新北地方檢察署、臺灣桃園地方檢察署、臺灣新竹地方檢察署、臺灣苗栗地方檢察署、臺灣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東地方檢察署、臺灣花蓮地方檢察署、臺灣宜蘭地方檢察署、臺灣基隆地方檢察署、臺灣澎湖地方檢察署、福建高等檢察署金門檢察分署、福建金門地方檢察署、福建連江地方檢察署、調查局、新竹科</w:t>
            </w:r>
            <w:r>
              <w:rPr>
                <w:rFonts w:ascii="標楷體" w:eastAsia="標楷體" w:hAnsi="標楷體" w:hint="eastAsia"/>
                <w:color w:val="000000" w:themeColor="text1"/>
                <w:sz w:val="22"/>
                <w:szCs w:val="22"/>
              </w:rPr>
              <w:t>學</w:t>
            </w:r>
            <w:r w:rsidRPr="003E1F5A">
              <w:rPr>
                <w:rFonts w:ascii="標楷體" w:eastAsia="標楷體" w:hAnsi="標楷體" w:hint="eastAsia"/>
                <w:color w:val="000000" w:themeColor="text1"/>
                <w:sz w:val="22"/>
                <w:szCs w:val="22"/>
              </w:rPr>
              <w:t>園區管理局、中部科學園區管理局、海巡署及所屬、海洋保育署、國家海洋研究院改</w:t>
            </w:r>
            <w:r w:rsidRPr="003E1F5A">
              <w:rPr>
                <w:rFonts w:ascii="標楷體" w:eastAsia="標楷體" w:hAnsi="標楷體" w:hint="eastAsia"/>
                <w:color w:val="000000" w:themeColor="text1"/>
                <w:sz w:val="22"/>
                <w:szCs w:val="22"/>
              </w:rPr>
              <w:lastRenderedPageBreak/>
              <w:t>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成替代，科目自行調整。</w:t>
            </w:r>
          </w:p>
          <w:p w14:paraId="5FC7F77D" w14:textId="2093FCC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7.</w:t>
            </w:r>
            <w:r w:rsidRPr="003E1F5A">
              <w:rPr>
                <w:rFonts w:ascii="標楷體" w:eastAsia="標楷體" w:hAnsi="標楷體" w:hint="eastAsia"/>
                <w:color w:val="000000" w:themeColor="text1"/>
                <w:sz w:val="22"/>
                <w:szCs w:val="22"/>
              </w:rPr>
              <w:t>委辦費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其中國家安全會議、</w:t>
            </w:r>
            <w:proofErr w:type="gramStart"/>
            <w:r w:rsidRPr="003E1F5A">
              <w:rPr>
                <w:rFonts w:ascii="標楷體" w:eastAsia="標楷體" w:hAnsi="標楷體" w:hint="eastAsia"/>
                <w:color w:val="000000" w:themeColor="text1"/>
                <w:sz w:val="22"/>
                <w:szCs w:val="22"/>
              </w:rPr>
              <w:t>國立故</w:t>
            </w:r>
            <w:proofErr w:type="gramEnd"/>
            <w:r w:rsidRPr="003E1F5A">
              <w:rPr>
                <w:rFonts w:ascii="標楷體" w:eastAsia="標楷體" w:hAnsi="標楷體" w:hint="eastAsia"/>
                <w:color w:val="000000" w:themeColor="text1"/>
                <w:sz w:val="22"/>
                <w:szCs w:val="22"/>
              </w:rPr>
              <w:t>宫博物院、國家發展委員會、檔案管理局、核能安全委員會及所屬、立法院、審計部、警政署及所屬、消防署及所屬、移民署、建築研究所、國防部所屬、國家教育研究院、司法官學院、臺灣高等檢察署、調查局、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45B005E9" w14:textId="175CCA3D"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8.</w:t>
            </w:r>
            <w:r w:rsidRPr="003E1F5A">
              <w:rPr>
                <w:rFonts w:ascii="標楷體" w:eastAsia="標楷體" w:hAnsi="標楷體" w:hint="eastAsia"/>
                <w:color w:val="000000" w:themeColor="text1"/>
                <w:sz w:val="22"/>
                <w:szCs w:val="22"/>
              </w:rPr>
              <w:t>軍事装備及設施</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其中國防部所屬、海巡署及所屬改以其他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刪減</w:t>
            </w:r>
            <w:r w:rsidRPr="003E1F5A">
              <w:rPr>
                <w:rFonts w:ascii="標楷體" w:eastAsia="標楷體" w:hAnsi="標楷體" w:hint="eastAsia"/>
                <w:color w:val="000000" w:themeColor="text1"/>
                <w:sz w:val="22"/>
                <w:szCs w:val="22"/>
              </w:rPr>
              <w:t>替代</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科目自行調整。</w:t>
            </w:r>
          </w:p>
          <w:p w14:paraId="358586B4" w14:textId="1CCE4A33"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9.</w:t>
            </w:r>
            <w:r w:rsidRPr="003E1F5A">
              <w:rPr>
                <w:rFonts w:ascii="標楷體" w:eastAsia="標楷體" w:hAnsi="標楷體" w:hint="eastAsia"/>
                <w:color w:val="000000" w:themeColor="text1"/>
                <w:sz w:val="22"/>
                <w:szCs w:val="22"/>
              </w:rPr>
              <w:t>一般事務</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，其中主計總處、立法院、最高法院、最高行政法院、</w:t>
            </w:r>
            <w:proofErr w:type="gramStart"/>
            <w:r w:rsidRPr="003E1F5A">
              <w:rPr>
                <w:rFonts w:ascii="標楷體" w:eastAsia="標楷體" w:hAnsi="標楷體" w:hint="eastAsia"/>
                <w:color w:val="000000" w:themeColor="text1"/>
                <w:sz w:val="22"/>
                <w:szCs w:val="22"/>
              </w:rPr>
              <w:t>壹北高等</w:t>
            </w:r>
            <w:proofErr w:type="gramEnd"/>
            <w:r w:rsidRPr="003E1F5A">
              <w:rPr>
                <w:rFonts w:ascii="標楷體" w:eastAsia="標楷體" w:hAnsi="標楷體" w:hint="eastAsia"/>
                <w:color w:val="000000" w:themeColor="text1"/>
                <w:sz w:val="22"/>
                <w:szCs w:val="22"/>
              </w:rPr>
              <w:t>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產及商業法院、臺灣高等法院、臺灣高等法院臺中分院、臺灣高等法院臺南分院、臺灣高等法院高雄分院、臺灣高等法院花蓮分院、臺灣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w:t>
            </w:r>
            <w:proofErr w:type="gramStart"/>
            <w:r w:rsidRPr="003E1F5A">
              <w:rPr>
                <w:rFonts w:ascii="標楷體" w:eastAsia="標楷體" w:hAnsi="標楷體" w:hint="eastAsia"/>
                <w:color w:val="000000" w:themeColor="text1"/>
                <w:sz w:val="22"/>
                <w:szCs w:val="22"/>
              </w:rPr>
              <w:t>臺灣苗票地方法院</w:t>
            </w:r>
            <w:proofErr w:type="gramEnd"/>
            <w:r w:rsidRPr="003E1F5A">
              <w:rPr>
                <w:rFonts w:ascii="標楷體" w:eastAsia="標楷體" w:hAnsi="標楷體" w:hint="eastAsia"/>
                <w:color w:val="000000" w:themeColor="text1"/>
                <w:sz w:val="22"/>
                <w:szCs w:val="22"/>
              </w:rPr>
              <w:t>、臺灣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南市審計處、審計部高雄市審計處、國土管理署及所屬、警政署及所屬、消防署及所屬、移民署、空中勤務總隊、國防部所屬、</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北國稅局、高雄國稅局、北區國稅局及所屬、中區國稅局及所屬、南區國稅局及所屬、關務署及所屬、國有財產署及所屬、財政資訊中心、國家圖書館、國</w:t>
            </w:r>
            <w:r w:rsidRPr="003E1F5A">
              <w:rPr>
                <w:rFonts w:ascii="標楷體" w:eastAsia="標楷體" w:hAnsi="標楷體" w:hint="eastAsia"/>
                <w:color w:val="000000" w:themeColor="text1"/>
                <w:sz w:val="22"/>
                <w:szCs w:val="22"/>
              </w:rPr>
              <w:lastRenderedPageBreak/>
              <w:t>立公共資訊圖書館、國立教育廣播電臺、國家教育研究院、最高檢察署、臺灣高等檢察署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w:t>
            </w:r>
            <w:proofErr w:type="gramStart"/>
            <w:r w:rsidRPr="003E1F5A">
              <w:rPr>
                <w:rFonts w:ascii="標楷體" w:eastAsia="標楷體" w:hAnsi="標楷體" w:hint="eastAsia"/>
                <w:color w:val="000000" w:themeColor="text1"/>
                <w:sz w:val="22"/>
                <w:szCs w:val="22"/>
              </w:rPr>
              <w:t>臺灣苗票地方</w:t>
            </w:r>
            <w:proofErr w:type="gramEnd"/>
            <w:r w:rsidRPr="003E1F5A">
              <w:rPr>
                <w:rFonts w:ascii="標楷體" w:eastAsia="標楷體" w:hAnsi="標楷體" w:hint="eastAsia"/>
                <w:color w:val="000000" w:themeColor="text1"/>
                <w:sz w:val="22"/>
                <w:szCs w:val="22"/>
              </w:rPr>
              <w:t>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中小及新創企業署、產業園區管理局及所屬、能源署、中央</w:t>
            </w:r>
            <w:r>
              <w:rPr>
                <w:rFonts w:ascii="標楷體" w:eastAsia="標楷體" w:hAnsi="標楷體" w:hint="eastAsia"/>
                <w:color w:val="000000" w:themeColor="text1"/>
                <w:sz w:val="22"/>
                <w:szCs w:val="22"/>
              </w:rPr>
              <w:t>氣</w:t>
            </w:r>
            <w:r w:rsidRPr="003E1F5A">
              <w:rPr>
                <w:rFonts w:ascii="標楷體" w:eastAsia="標楷體" w:hAnsi="標楷體" w:hint="eastAsia"/>
                <w:color w:val="000000" w:themeColor="text1"/>
                <w:sz w:val="22"/>
                <w:szCs w:val="22"/>
              </w:rPr>
              <w:t>象署、航港局、農村發展及水土保持署及所屬、獸醫研究所、臺南區農業改良場、花蓮區農業改良</w:t>
            </w:r>
            <w:r>
              <w:rPr>
                <w:rFonts w:ascii="標楷體" w:eastAsia="標楷體" w:hAnsi="標楷體" w:hint="eastAsia"/>
                <w:color w:val="000000" w:themeColor="text1"/>
                <w:sz w:val="22"/>
                <w:szCs w:val="22"/>
              </w:rPr>
              <w:t>場</w:t>
            </w:r>
            <w:r w:rsidRPr="003E1F5A">
              <w:rPr>
                <w:rFonts w:ascii="標楷體" w:eastAsia="標楷體" w:hAnsi="標楷體" w:hint="eastAsia"/>
                <w:color w:val="000000" w:themeColor="text1"/>
                <w:sz w:val="22"/>
                <w:szCs w:val="22"/>
              </w:rPr>
              <w:t>、</w:t>
            </w:r>
            <w:r>
              <w:rPr>
                <w:rFonts w:ascii="標楷體" w:eastAsia="標楷體" w:hAnsi="標楷體" w:hint="eastAsia"/>
                <w:color w:val="000000" w:themeColor="text1"/>
                <w:sz w:val="22"/>
                <w:szCs w:val="22"/>
              </w:rPr>
              <w:t>漁</w:t>
            </w:r>
            <w:r w:rsidRPr="003E1F5A">
              <w:rPr>
                <w:rFonts w:ascii="標楷體" w:eastAsia="標楷體" w:hAnsi="標楷體" w:hint="eastAsia"/>
                <w:color w:val="000000" w:themeColor="text1"/>
                <w:sz w:val="22"/>
                <w:szCs w:val="22"/>
              </w:rPr>
              <w:t>業署及所屬、動植物防疫檢疫署及所屬、農業金融署、疾病管制署、中央健康保險署、新竹科學園區管理局、中部科學園區管理局、海巡署及所屬、海洋保育署、國家海洋研究院院改以其他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5E8D6D5F" w14:textId="16D04D6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媒體政策及業務宣導費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除另有預算案決議外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w:t>
            </w:r>
          </w:p>
          <w:p w14:paraId="147FCCF2" w14:textId="49D8AE90"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11.</w:t>
            </w:r>
            <w:r w:rsidRPr="003E1F5A">
              <w:rPr>
                <w:rFonts w:ascii="標楷體" w:eastAsia="標楷體" w:hAnsi="標楷體" w:hint="eastAsia"/>
                <w:color w:val="000000" w:themeColor="text1"/>
                <w:sz w:val="22"/>
                <w:szCs w:val="22"/>
              </w:rPr>
              <w:t>設備及投資</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現行</w:t>
            </w:r>
            <w:r w:rsidRPr="003E1F5A">
              <w:rPr>
                <w:rFonts w:ascii="標楷體" w:eastAsia="標楷體" w:hAnsi="標楷體" w:hint="eastAsia"/>
                <w:color w:val="000000" w:themeColor="text1"/>
                <w:sz w:val="22"/>
                <w:szCs w:val="22"/>
              </w:rPr>
              <w:t>法律明文規定支出、資產作價投資不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w:t>
            </w:r>
            <w:r w:rsidRPr="003E1F5A">
              <w:rPr>
                <w:rFonts w:ascii="標楷體" w:eastAsia="標楷體" w:hAnsi="標楷體" w:hint="eastAsia"/>
                <w:color w:val="000000" w:themeColor="text1"/>
                <w:sz w:val="22"/>
                <w:szCs w:val="22"/>
              </w:rPr>
              <w:t>，其中中央選舉委員會及所屬、立法院、司法院、最高法院、最高行政法院、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中高等行政法院、高雄高等行政法院、懲戒法院、法官學院、智慧財產及商業法院、臺灣高等法院、臺灣高等法院</w:t>
            </w:r>
            <w:r>
              <w:rPr>
                <w:rFonts w:ascii="標楷體" w:eastAsia="標楷體" w:hAnsi="標楷體" w:hint="eastAsia"/>
                <w:color w:val="000000" w:themeColor="text1"/>
                <w:sz w:val="22"/>
                <w:szCs w:val="22"/>
              </w:rPr>
              <w:t>臺</w:t>
            </w:r>
            <w:r w:rsidRPr="003E1F5A">
              <w:rPr>
                <w:rFonts w:ascii="標楷體" w:eastAsia="標楷體" w:hAnsi="標楷體" w:hint="eastAsia"/>
                <w:color w:val="000000" w:themeColor="text1"/>
                <w:sz w:val="22"/>
                <w:szCs w:val="22"/>
              </w:rPr>
              <w:t>中分院、臺灣高等法院高雄分院、臺灣高等法院花蓮分院、臺灣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東地方法院、臺灣花蓮地方法院、臺灣宜蘭地方法院、臺灣基隆地方法院、臺灣澎湖地方法院、臺灣高雄少年及家事法院、福建高等法院金門分院、福建金門地方法院、福建連江地方法院、監察</w:t>
            </w:r>
            <w:r w:rsidRPr="003E1F5A">
              <w:rPr>
                <w:rFonts w:ascii="標楷體" w:eastAsia="標楷體" w:hAnsi="標楷體" w:hint="eastAsia"/>
                <w:color w:val="000000" w:themeColor="text1"/>
                <w:sz w:val="22"/>
                <w:szCs w:val="22"/>
              </w:rPr>
              <w:lastRenderedPageBreak/>
              <w:t>院、審計部臺北市審計處、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南市審計處、審計部高雄市審計處、消防署及所屬、國防部、</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政部、國庫署、賦税署、臺北國稅局、高雄國稅局、中區國稅局及所屬、南區國税局及所屬、關務署及所屬、</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資訊中心、國家圖書館、國立公共資訊圖書館、國立教育廣播電臺、國家教育研究院、法務部、司法官學院、法醫研究所、廉政署、最高檢察署、臺灣高等檢察署、臺灣高等檢察署臺中檢察分署、臺灣高等檢察署臺南檢察分署、臺灣高等檢察署高雄檢察分署、臺灣高等檢察署花蓮檢察分署、臺灣高等</w:t>
            </w:r>
            <w:r>
              <w:rPr>
                <w:rFonts w:ascii="標楷體" w:eastAsia="標楷體" w:hAnsi="標楷體" w:hint="eastAsia"/>
                <w:color w:val="000000" w:themeColor="text1"/>
                <w:sz w:val="22"/>
                <w:szCs w:val="22"/>
              </w:rPr>
              <w:t>檢</w:t>
            </w:r>
            <w:r w:rsidRPr="003E1F5A">
              <w:rPr>
                <w:rFonts w:ascii="標楷體" w:eastAsia="標楷體" w:hAnsi="標楷體" w:hint="eastAsia"/>
                <w:color w:val="000000" w:themeColor="text1"/>
                <w:sz w:val="22"/>
                <w:szCs w:val="22"/>
              </w:rPr>
              <w:t>察署智慧財產檢察分署、臺灣臺北地方檢察署、臺灣士林地方檢察署、臺灣新北地方檢察署、臺灣桃園地方檢察署、臺灣新竹地方檢察署、臺灣苗票地方檢察署、臺灣南投地方檢察署、臺灣彰化地方檢察署、臺灣雲林地方檢察署、臺灣嘉義地方檢察署、臺灣臺南地方檢察署、臺灣橋頭地方檢察署、臺灣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地方檢察署、臺灣屏東地方檢察署、臺灣臺東地方檢察署、臺灣花蓮地方檢察署、臺灣</w:t>
            </w:r>
            <w:r>
              <w:rPr>
                <w:rFonts w:ascii="標楷體" w:eastAsia="標楷體" w:hAnsi="標楷體" w:hint="eastAsia"/>
                <w:color w:val="000000" w:themeColor="text1"/>
                <w:sz w:val="22"/>
                <w:szCs w:val="22"/>
              </w:rPr>
              <w:t>宜</w:t>
            </w:r>
            <w:r w:rsidRPr="003E1F5A">
              <w:rPr>
                <w:rFonts w:ascii="標楷體" w:eastAsia="標楷體" w:hAnsi="標楷體" w:hint="eastAsia"/>
                <w:color w:val="000000" w:themeColor="text1"/>
                <w:sz w:val="22"/>
                <w:szCs w:val="22"/>
              </w:rPr>
              <w:t>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05E60CE0" w14:textId="7777777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12.前述六至九項允許在業務費科目範圍內調整。</w:t>
            </w:r>
          </w:p>
          <w:p w14:paraId="07887971" w14:textId="57E6E4B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13.如總</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減數未達939億元7</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500萬元(約3%)，另予補足。</w:t>
            </w:r>
          </w:p>
        </w:tc>
        <w:tc>
          <w:tcPr>
            <w:tcW w:w="1882" w:type="pct"/>
            <w:tcBorders>
              <w:top w:val="single" w:sz="8" w:space="0" w:color="auto"/>
            </w:tcBorders>
          </w:tcPr>
          <w:p w14:paraId="19A798BA" w14:textId="76C0C48A" w:rsidR="0053622E" w:rsidRPr="00531292" w:rsidRDefault="0053622E" w:rsidP="00531292">
            <w:pPr>
              <w:spacing w:line="340" w:lineRule="exact"/>
              <w:jc w:val="both"/>
              <w:rPr>
                <w:rFonts w:ascii="標楷體" w:eastAsia="標楷體" w:hAnsi="標楷體"/>
                <w:color w:val="000000" w:themeColor="text1"/>
                <w:sz w:val="22"/>
              </w:rPr>
            </w:pPr>
            <w:bookmarkStart w:id="0" w:name="_GoBack"/>
            <w:bookmarkEnd w:id="0"/>
            <w:r w:rsidRPr="00531292">
              <w:rPr>
                <w:rFonts w:ascii="標楷體" w:eastAsia="標楷體" w:hAnsi="標楷體" w:hint="eastAsia"/>
                <w:color w:val="000000" w:themeColor="text1"/>
                <w:sz w:val="22"/>
              </w:rPr>
              <w:lastRenderedPageBreak/>
              <w:t>遵照辦理。</w:t>
            </w:r>
          </w:p>
        </w:tc>
      </w:tr>
      <w:tr w:rsidR="0053622E" w:rsidRPr="003E1F5A" w14:paraId="48681FAF" w14:textId="77777777" w:rsidTr="0053622E">
        <w:trPr>
          <w:trHeight w:val="567"/>
          <w:jc w:val="center"/>
        </w:trPr>
        <w:tc>
          <w:tcPr>
            <w:tcW w:w="479" w:type="pct"/>
          </w:tcPr>
          <w:p w14:paraId="70212E3C" w14:textId="6DC80E4E"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(二)</w:t>
            </w:r>
          </w:p>
        </w:tc>
        <w:tc>
          <w:tcPr>
            <w:tcW w:w="2639" w:type="pct"/>
          </w:tcPr>
          <w:p w14:paraId="43F798BA" w14:textId="7BF28AA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為利政府經費花在刀口上，發揮更大財政效益，並避免政府機關、事業機構圖利特定媒體。因此要求各政府機關</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年中央政府總預算案中所編列之政策宣導費用，由單一媒體含相關企業，該年度得標金額合計不得超過該部會該項預算金額的</w:t>
            </w:r>
            <w:r w:rsidRPr="003E1F5A">
              <w:rPr>
                <w:rFonts w:eastAsia="標楷體" w:hint="eastAsia"/>
                <w:color w:val="000000" w:themeColor="text1"/>
                <w:kern w:val="0"/>
                <w:sz w:val="22"/>
                <w:szCs w:val="22"/>
              </w:rPr>
              <w:t>5%</w:t>
            </w:r>
            <w:r w:rsidRPr="003E1F5A">
              <w:rPr>
                <w:rFonts w:eastAsia="標楷體" w:hint="eastAsia"/>
                <w:color w:val="000000" w:themeColor="text1"/>
                <w:kern w:val="0"/>
                <w:sz w:val="22"/>
                <w:szCs w:val="22"/>
              </w:rPr>
              <w:t>。</w:t>
            </w:r>
          </w:p>
        </w:tc>
        <w:tc>
          <w:tcPr>
            <w:tcW w:w="1882" w:type="pct"/>
          </w:tcPr>
          <w:p w14:paraId="1319308C" w14:textId="1005440E" w:rsidR="0053622E" w:rsidRPr="003E1F5A" w:rsidRDefault="0053622E" w:rsidP="00FC75A0">
            <w:pPr>
              <w:pStyle w:val="a3"/>
              <w:ind w:left="0" w:firstLineChars="0" w:firstLine="0"/>
              <w:rPr>
                <w:rFonts w:cs="新細明體"/>
                <w:color w:val="000000" w:themeColor="text1"/>
                <w:kern w:val="0"/>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1F9966BA" w14:textId="77777777" w:rsidTr="0053622E">
        <w:trPr>
          <w:trHeight w:val="397"/>
          <w:jc w:val="center"/>
        </w:trPr>
        <w:tc>
          <w:tcPr>
            <w:tcW w:w="479" w:type="pct"/>
          </w:tcPr>
          <w:p w14:paraId="4FFBC56B"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(三)</w:t>
            </w:r>
          </w:p>
        </w:tc>
        <w:tc>
          <w:tcPr>
            <w:tcW w:w="2639" w:type="pct"/>
          </w:tcPr>
          <w:p w14:paraId="08D1840C" w14:textId="0DBB32F8"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立法院於審議</w:t>
            </w:r>
            <w:proofErr w:type="gramStart"/>
            <w:r w:rsidRPr="003E1F5A">
              <w:rPr>
                <w:rFonts w:eastAsia="標楷體" w:hint="eastAsia"/>
                <w:color w:val="000000" w:themeColor="text1"/>
                <w:kern w:val="0"/>
                <w:sz w:val="22"/>
                <w:szCs w:val="22"/>
              </w:rPr>
              <w:t>110</w:t>
            </w:r>
            <w:proofErr w:type="gramEnd"/>
            <w:r w:rsidRPr="003E1F5A">
              <w:rPr>
                <w:rFonts w:eastAsia="標楷體" w:hint="eastAsia"/>
                <w:color w:val="000000" w:themeColor="text1"/>
                <w:kern w:val="0"/>
                <w:sz w:val="22"/>
                <w:szCs w:val="22"/>
              </w:rPr>
              <w:t>年度中央政府總預算案時作成決議，自</w:t>
            </w:r>
            <w:proofErr w:type="gramStart"/>
            <w:r w:rsidRPr="003E1F5A">
              <w:rPr>
                <w:rFonts w:eastAsia="標楷體" w:hint="eastAsia"/>
                <w:color w:val="000000" w:themeColor="text1"/>
                <w:kern w:val="0"/>
                <w:sz w:val="22"/>
                <w:szCs w:val="22"/>
              </w:rPr>
              <w:t>111</w:t>
            </w:r>
            <w:proofErr w:type="gramEnd"/>
            <w:r w:rsidRPr="003E1F5A">
              <w:rPr>
                <w:rFonts w:eastAsia="標楷體" w:hint="eastAsia"/>
                <w:color w:val="000000" w:themeColor="text1"/>
                <w:kern w:val="0"/>
                <w:sz w:val="22"/>
                <w:szCs w:val="22"/>
              </w:rPr>
              <w:t>年度起各機關編列政策宣導經費應於單位預算書中以表列方式呈現，</w:t>
            </w:r>
            <w:proofErr w:type="gramStart"/>
            <w:r w:rsidRPr="003E1F5A">
              <w:rPr>
                <w:rFonts w:eastAsia="標楷體" w:hint="eastAsia"/>
                <w:color w:val="000000" w:themeColor="text1"/>
                <w:kern w:val="0"/>
                <w:sz w:val="22"/>
                <w:szCs w:val="22"/>
              </w:rPr>
              <w:t>以利控管</w:t>
            </w:r>
            <w:proofErr w:type="gramEnd"/>
            <w:r w:rsidRPr="003E1F5A">
              <w:rPr>
                <w:rFonts w:eastAsia="標楷體" w:hint="eastAsia"/>
                <w:color w:val="000000" w:themeColor="text1"/>
                <w:kern w:val="0"/>
                <w:sz w:val="22"/>
                <w:szCs w:val="22"/>
              </w:rPr>
              <w:t>。爾後，政策宣導費於各部會中分裂為兩個部分，分別</w:t>
            </w:r>
            <w:proofErr w:type="gramStart"/>
            <w:r w:rsidRPr="003E1F5A">
              <w:rPr>
                <w:rFonts w:eastAsia="標楷體" w:hint="eastAsia"/>
                <w:color w:val="000000" w:themeColor="text1"/>
                <w:kern w:val="0"/>
                <w:sz w:val="22"/>
                <w:szCs w:val="22"/>
              </w:rPr>
              <w:t>為媒宣</w:t>
            </w:r>
            <w:proofErr w:type="gramEnd"/>
            <w:r w:rsidRPr="003E1F5A">
              <w:rPr>
                <w:rFonts w:eastAsia="標楷體" w:hint="eastAsia"/>
                <w:color w:val="000000" w:themeColor="text1"/>
                <w:kern w:val="0"/>
                <w:sz w:val="22"/>
                <w:szCs w:val="22"/>
              </w:rPr>
              <w:t>費以及</w:t>
            </w:r>
            <w:proofErr w:type="gramStart"/>
            <w:r w:rsidRPr="003E1F5A">
              <w:rPr>
                <w:rFonts w:eastAsia="標楷體" w:hint="eastAsia"/>
                <w:color w:val="000000" w:themeColor="text1"/>
                <w:kern w:val="0"/>
                <w:sz w:val="22"/>
                <w:szCs w:val="22"/>
              </w:rPr>
              <w:t>推展費</w:t>
            </w:r>
            <w:proofErr w:type="gramEnd"/>
            <w:r w:rsidRPr="003E1F5A">
              <w:rPr>
                <w:rFonts w:eastAsia="標楷體" w:hint="eastAsia"/>
                <w:color w:val="000000" w:themeColor="text1"/>
                <w:kern w:val="0"/>
                <w:sz w:val="22"/>
                <w:szCs w:val="22"/>
              </w:rPr>
              <w:t>。主計總處</w:t>
            </w:r>
            <w:proofErr w:type="gramStart"/>
            <w:r w:rsidRPr="003E1F5A">
              <w:rPr>
                <w:rFonts w:eastAsia="標楷體" w:hint="eastAsia"/>
                <w:color w:val="000000" w:themeColor="text1"/>
                <w:kern w:val="0"/>
                <w:sz w:val="22"/>
                <w:szCs w:val="22"/>
              </w:rPr>
              <w:t>定義媒宣費</w:t>
            </w:r>
            <w:proofErr w:type="gramEnd"/>
            <w:r w:rsidRPr="003E1F5A">
              <w:rPr>
                <w:rFonts w:eastAsia="標楷體" w:hint="eastAsia"/>
                <w:color w:val="000000" w:themeColor="text1"/>
                <w:kern w:val="0"/>
                <w:sz w:val="22"/>
                <w:szCs w:val="22"/>
              </w:rPr>
              <w:t>是委託媒體刊登廣告的經費，</w:t>
            </w:r>
            <w:proofErr w:type="gramStart"/>
            <w:r w:rsidRPr="003E1F5A">
              <w:rPr>
                <w:rFonts w:eastAsia="標楷體" w:hint="eastAsia"/>
                <w:color w:val="000000" w:themeColor="text1"/>
                <w:kern w:val="0"/>
                <w:sz w:val="22"/>
                <w:szCs w:val="22"/>
              </w:rPr>
              <w:t>推展費是</w:t>
            </w:r>
            <w:proofErr w:type="gramEnd"/>
            <w:r w:rsidRPr="003E1F5A">
              <w:rPr>
                <w:rFonts w:eastAsia="標楷體" w:hint="eastAsia"/>
                <w:color w:val="000000" w:themeColor="text1"/>
                <w:kern w:val="0"/>
                <w:sz w:val="22"/>
                <w:szCs w:val="22"/>
              </w:rPr>
              <w:t>辦理各項活動、拍影片等經費。推</w:t>
            </w:r>
            <w:proofErr w:type="gramStart"/>
            <w:r w:rsidRPr="003E1F5A">
              <w:rPr>
                <w:rFonts w:eastAsia="標楷體" w:hint="eastAsia"/>
                <w:color w:val="000000" w:themeColor="text1"/>
                <w:kern w:val="0"/>
                <w:sz w:val="22"/>
                <w:szCs w:val="22"/>
              </w:rPr>
              <w:t>展費及媒宣</w:t>
            </w:r>
            <w:proofErr w:type="gramEnd"/>
            <w:r w:rsidRPr="003E1F5A">
              <w:rPr>
                <w:rFonts w:eastAsia="標楷體" w:hint="eastAsia"/>
                <w:color w:val="000000" w:themeColor="text1"/>
                <w:kern w:val="0"/>
                <w:sz w:val="22"/>
                <w:szCs w:val="22"/>
              </w:rPr>
              <w:t>費於營業和</w:t>
            </w:r>
            <w:r w:rsidRPr="003E1F5A">
              <w:rPr>
                <w:rFonts w:eastAsia="標楷體" w:hint="eastAsia"/>
                <w:color w:val="000000" w:themeColor="text1"/>
                <w:kern w:val="0"/>
                <w:sz w:val="22"/>
                <w:szCs w:val="22"/>
              </w:rPr>
              <w:lastRenderedPageBreak/>
              <w:t>非營業基金中，係二級預算科目，因此在預算書中各項費用彙計表裡皆有表列，然而在公務預算中，</w:t>
            </w:r>
            <w:proofErr w:type="gramStart"/>
            <w:r w:rsidRPr="003E1F5A">
              <w:rPr>
                <w:rFonts w:eastAsia="標楷體" w:hint="eastAsia"/>
                <w:color w:val="000000" w:themeColor="text1"/>
                <w:kern w:val="0"/>
                <w:sz w:val="22"/>
                <w:szCs w:val="22"/>
              </w:rPr>
              <w:t>由於媒宣</w:t>
            </w:r>
            <w:proofErr w:type="gramEnd"/>
            <w:r w:rsidRPr="003E1F5A">
              <w:rPr>
                <w:rFonts w:eastAsia="標楷體" w:hint="eastAsia"/>
                <w:color w:val="000000" w:themeColor="text1"/>
                <w:kern w:val="0"/>
                <w:sz w:val="22"/>
                <w:szCs w:val="22"/>
              </w:rPr>
              <w:t>費和</w:t>
            </w:r>
            <w:proofErr w:type="gramStart"/>
            <w:r w:rsidRPr="003E1F5A">
              <w:rPr>
                <w:rFonts w:eastAsia="標楷體" w:hint="eastAsia"/>
                <w:color w:val="000000" w:themeColor="text1"/>
                <w:kern w:val="0"/>
                <w:sz w:val="22"/>
                <w:szCs w:val="22"/>
              </w:rPr>
              <w:t>推展費皆</w:t>
            </w:r>
            <w:proofErr w:type="gramEnd"/>
            <w:r w:rsidRPr="003E1F5A">
              <w:rPr>
                <w:rFonts w:eastAsia="標楷體" w:hint="eastAsia"/>
                <w:color w:val="000000" w:themeColor="text1"/>
                <w:kern w:val="0"/>
                <w:sz w:val="22"/>
                <w:szCs w:val="22"/>
              </w:rPr>
              <w:t>為三級預算科目，因此於預算書的各項費用</w:t>
            </w:r>
            <w:r>
              <w:rPr>
                <w:rFonts w:eastAsia="標楷體" w:hint="eastAsia"/>
                <w:color w:val="000000" w:themeColor="text1"/>
                <w:kern w:val="0"/>
                <w:sz w:val="22"/>
                <w:szCs w:val="22"/>
              </w:rPr>
              <w:t>彙</w:t>
            </w:r>
            <w:r w:rsidRPr="003E1F5A">
              <w:rPr>
                <w:rFonts w:eastAsia="標楷體" w:hint="eastAsia"/>
                <w:color w:val="000000" w:themeColor="text1"/>
                <w:kern w:val="0"/>
                <w:sz w:val="22"/>
                <w:szCs w:val="22"/>
              </w:rPr>
              <w:t>計表中皆看不到相關統計數字。經追查發現，農業部、</w:t>
            </w:r>
            <w:proofErr w:type="gramStart"/>
            <w:r w:rsidRPr="003E1F5A">
              <w:rPr>
                <w:rFonts w:eastAsia="標楷體" w:hint="eastAsia"/>
                <w:color w:val="000000" w:themeColor="text1"/>
                <w:kern w:val="0"/>
                <w:sz w:val="22"/>
                <w:szCs w:val="22"/>
              </w:rPr>
              <w:t>勞動部等部分</w:t>
            </w:r>
            <w:proofErr w:type="gramEnd"/>
            <w:r w:rsidRPr="003E1F5A">
              <w:rPr>
                <w:rFonts w:eastAsia="標楷體" w:hint="eastAsia"/>
                <w:color w:val="000000" w:themeColor="text1"/>
                <w:kern w:val="0"/>
                <w:sz w:val="22"/>
                <w:szCs w:val="22"/>
              </w:rPr>
              <w:t>部會利用基金中之</w:t>
            </w:r>
            <w:proofErr w:type="gramStart"/>
            <w:r w:rsidRPr="003E1F5A">
              <w:rPr>
                <w:rFonts w:eastAsia="標楷體" w:hint="eastAsia"/>
                <w:color w:val="000000" w:themeColor="text1"/>
                <w:kern w:val="0"/>
                <w:sz w:val="22"/>
                <w:szCs w:val="22"/>
              </w:rPr>
              <w:t>推展</w:t>
            </w:r>
            <w:r>
              <w:rPr>
                <w:rFonts w:eastAsia="標楷體" w:hint="eastAsia"/>
                <w:color w:val="000000" w:themeColor="text1"/>
                <w:kern w:val="0"/>
                <w:sz w:val="22"/>
                <w:szCs w:val="22"/>
              </w:rPr>
              <w:t>費</w:t>
            </w:r>
            <w:r w:rsidRPr="003E1F5A">
              <w:rPr>
                <w:rFonts w:eastAsia="標楷體" w:hint="eastAsia"/>
                <w:color w:val="000000" w:themeColor="text1"/>
                <w:kern w:val="0"/>
                <w:sz w:val="22"/>
                <w:szCs w:val="22"/>
              </w:rPr>
              <w:t>挪用</w:t>
            </w:r>
            <w:proofErr w:type="gramEnd"/>
            <w:r w:rsidRPr="003E1F5A">
              <w:rPr>
                <w:rFonts w:eastAsia="標楷體" w:hint="eastAsia"/>
                <w:color w:val="000000" w:themeColor="text1"/>
                <w:kern w:val="0"/>
                <w:sz w:val="22"/>
                <w:szCs w:val="22"/>
              </w:rPr>
              <w:t>相關經費</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且</w:t>
            </w:r>
            <w:proofErr w:type="gramStart"/>
            <w:r w:rsidRPr="003E1F5A">
              <w:rPr>
                <w:rFonts w:eastAsia="標楷體" w:hint="eastAsia"/>
                <w:color w:val="000000" w:themeColor="text1"/>
                <w:kern w:val="0"/>
                <w:sz w:val="22"/>
                <w:szCs w:val="22"/>
              </w:rPr>
              <w:t>於媒宣</w:t>
            </w:r>
            <w:proofErr w:type="gramEnd"/>
            <w:r w:rsidRPr="003E1F5A">
              <w:rPr>
                <w:rFonts w:eastAsia="標楷體" w:hint="eastAsia"/>
                <w:color w:val="000000" w:themeColor="text1"/>
                <w:kern w:val="0"/>
                <w:sz w:val="22"/>
                <w:szCs w:val="22"/>
              </w:rPr>
              <w:t>費之使用上大多</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限制性招標並且高度集中於特定媒體。為了讓政策宣傳管道更加多元</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w:t>
            </w:r>
            <w:proofErr w:type="gramStart"/>
            <w:r w:rsidRPr="003E1F5A">
              <w:rPr>
                <w:rFonts w:eastAsia="標楷體" w:hint="eastAsia"/>
                <w:color w:val="000000" w:themeColor="text1"/>
                <w:kern w:val="0"/>
                <w:sz w:val="22"/>
                <w:szCs w:val="22"/>
              </w:rPr>
              <w:t>媒宣費採</w:t>
            </w:r>
            <w:proofErr w:type="gramEnd"/>
            <w:r w:rsidRPr="003E1F5A">
              <w:rPr>
                <w:rFonts w:eastAsia="標楷體" w:hint="eastAsia"/>
                <w:color w:val="000000" w:themeColor="text1"/>
                <w:kern w:val="0"/>
                <w:sz w:val="22"/>
                <w:szCs w:val="22"/>
              </w:rPr>
              <w:t>限制性招標者</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金額需限縮</w:t>
            </w:r>
            <w:proofErr w:type="gramEnd"/>
            <w:r w:rsidRPr="003E1F5A">
              <w:rPr>
                <w:rFonts w:eastAsia="標楷體" w:hint="eastAsia"/>
                <w:color w:val="000000" w:themeColor="text1"/>
                <w:kern w:val="0"/>
                <w:sz w:val="22"/>
                <w:szCs w:val="22"/>
              </w:rPr>
              <w:t>至各單位年度預算的一成以内</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並自</w:t>
            </w:r>
            <w:r w:rsidRPr="003E1F5A">
              <w:rPr>
                <w:rFonts w:eastAsia="標楷體"/>
                <w:color w:val="000000" w:themeColor="text1"/>
                <w:kern w:val="0"/>
                <w:sz w:val="22"/>
                <w:szCs w:val="22"/>
              </w:rPr>
              <w:t>115</w:t>
            </w:r>
            <w:r w:rsidRPr="003E1F5A">
              <w:rPr>
                <w:rFonts w:eastAsia="標楷體" w:hint="eastAsia"/>
                <w:color w:val="000000" w:themeColor="text1"/>
                <w:kern w:val="0"/>
                <w:sz w:val="22"/>
                <w:szCs w:val="22"/>
              </w:rPr>
              <w:t>年度起</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預算書增加表列推展費預算</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以利國會監督。</w:t>
            </w:r>
          </w:p>
        </w:tc>
        <w:tc>
          <w:tcPr>
            <w:tcW w:w="1882" w:type="pct"/>
          </w:tcPr>
          <w:p w14:paraId="5AA8FA5B" w14:textId="2322867C" w:rsidR="0053622E" w:rsidRPr="00096FEE" w:rsidRDefault="0053622E" w:rsidP="00FC75A0">
            <w:pPr>
              <w:pStyle w:val="a3"/>
              <w:ind w:left="0" w:firstLineChars="0" w:firstLine="0"/>
              <w:rPr>
                <w:color w:val="000000" w:themeColor="text1"/>
              </w:rPr>
            </w:pPr>
            <w:r w:rsidRPr="00096FEE">
              <w:rPr>
                <w:rFonts w:hint="eastAsia"/>
                <w:color w:val="000000" w:themeColor="text1"/>
              </w:rPr>
              <w:lastRenderedPageBreak/>
              <w:t>遵照辦理。</w:t>
            </w:r>
          </w:p>
        </w:tc>
      </w:tr>
      <w:tr w:rsidR="0053622E" w:rsidRPr="003E1F5A" w14:paraId="7B2B4DD2" w14:textId="77777777" w:rsidTr="0053622E">
        <w:trPr>
          <w:trHeight w:val="567"/>
          <w:jc w:val="center"/>
        </w:trPr>
        <w:tc>
          <w:tcPr>
            <w:tcW w:w="479" w:type="pct"/>
          </w:tcPr>
          <w:p w14:paraId="5B06B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(四)</w:t>
            </w:r>
          </w:p>
        </w:tc>
        <w:tc>
          <w:tcPr>
            <w:tcW w:w="2639" w:type="pct"/>
          </w:tcPr>
          <w:p w14:paraId="222D1693" w14:textId="2E552E0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立院預算中心針對</w:t>
            </w:r>
            <w:proofErr w:type="gramStart"/>
            <w:r w:rsidRPr="003E1F5A">
              <w:rPr>
                <w:rFonts w:eastAsia="標楷體" w:hint="eastAsia"/>
                <w:color w:val="000000" w:themeColor="text1"/>
                <w:kern w:val="0"/>
                <w:sz w:val="22"/>
                <w:szCs w:val="22"/>
              </w:rPr>
              <w:t>政府媒宣費</w:t>
            </w:r>
            <w:proofErr w:type="gramEnd"/>
            <w:r w:rsidRPr="003E1F5A">
              <w:rPr>
                <w:rFonts w:eastAsia="標楷體" w:hint="eastAsia"/>
                <w:color w:val="000000" w:themeColor="text1"/>
                <w:kern w:val="0"/>
                <w:sz w:val="22"/>
                <w:szCs w:val="22"/>
              </w:rPr>
              <w:t>報告指出，各</w:t>
            </w:r>
            <w:proofErr w:type="gramStart"/>
            <w:r w:rsidRPr="003E1F5A">
              <w:rPr>
                <w:rFonts w:eastAsia="標楷體" w:hint="eastAsia"/>
                <w:color w:val="000000" w:themeColor="text1"/>
                <w:kern w:val="0"/>
                <w:sz w:val="22"/>
                <w:szCs w:val="22"/>
              </w:rPr>
              <w:t>機關媒宣費</w:t>
            </w:r>
            <w:proofErr w:type="gramEnd"/>
            <w:r w:rsidRPr="003E1F5A">
              <w:rPr>
                <w:rFonts w:eastAsia="標楷體" w:hint="eastAsia"/>
                <w:color w:val="000000" w:themeColor="text1"/>
                <w:kern w:val="0"/>
                <w:sz w:val="22"/>
                <w:szCs w:val="22"/>
              </w:rPr>
              <w:t>連續三年的得標廠商</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限制性招標居多，且「得標廠商集中度甚高</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，恐使政府政策及宣傳業務未能擴及社會大眾，必須</w:t>
            </w:r>
            <w:proofErr w:type="gramStart"/>
            <w:r w:rsidRPr="003E1F5A">
              <w:rPr>
                <w:rFonts w:eastAsia="標楷體" w:hint="eastAsia"/>
                <w:color w:val="000000" w:themeColor="text1"/>
                <w:kern w:val="0"/>
                <w:sz w:val="22"/>
                <w:szCs w:val="22"/>
              </w:rPr>
              <w:t>檢討適妥性</w:t>
            </w:r>
            <w:proofErr w:type="gramEnd"/>
            <w:r w:rsidRPr="003E1F5A">
              <w:rPr>
                <w:rFonts w:eastAsia="標楷體" w:hint="eastAsia"/>
                <w:color w:val="000000" w:themeColor="text1"/>
                <w:kern w:val="0"/>
                <w:sz w:val="22"/>
                <w:szCs w:val="22"/>
              </w:rPr>
              <w:t>。經查，交通部連續三年</w:t>
            </w:r>
            <w:proofErr w:type="gramStart"/>
            <w:r w:rsidRPr="003E1F5A">
              <w:rPr>
                <w:rFonts w:eastAsia="標楷體" w:hint="eastAsia"/>
                <w:color w:val="000000" w:themeColor="text1"/>
                <w:kern w:val="0"/>
                <w:sz w:val="22"/>
                <w:szCs w:val="22"/>
              </w:rPr>
              <w:t>之媒宣費</w:t>
            </w:r>
            <w:proofErr w:type="gramEnd"/>
            <w:r w:rsidRPr="003E1F5A">
              <w:rPr>
                <w:rFonts w:eastAsia="標楷體" w:hint="eastAsia"/>
                <w:color w:val="000000" w:themeColor="text1"/>
                <w:kern w:val="0"/>
                <w:sz w:val="22"/>
                <w:szCs w:val="22"/>
              </w:rPr>
              <w:t>有集中特定廠商之現象。行政院及各部會該項預算辦理法令政策溝通，包括針對國家施政計畫及政策、整體施政、重大事件及災害防救、加強防詐騙與防</w:t>
            </w:r>
            <w:proofErr w:type="gramStart"/>
            <w:r w:rsidRPr="003E1F5A">
              <w:rPr>
                <w:rFonts w:eastAsia="標楷體" w:hint="eastAsia"/>
                <w:color w:val="000000" w:themeColor="text1"/>
                <w:kern w:val="0"/>
                <w:sz w:val="22"/>
                <w:szCs w:val="22"/>
              </w:rPr>
              <w:t>制錯假</w:t>
            </w:r>
            <w:proofErr w:type="gramEnd"/>
            <w:r w:rsidRPr="003E1F5A">
              <w:rPr>
                <w:rFonts w:eastAsia="標楷體" w:hint="eastAsia"/>
                <w:color w:val="000000" w:themeColor="text1"/>
                <w:kern w:val="0"/>
                <w:sz w:val="22"/>
                <w:szCs w:val="22"/>
              </w:rPr>
              <w:t>訊息等。然，行政院有各部會協助宣導業務，應無增加媒體政策及業務宣導預算之需求。應注意避免集中特定廠商且得標數量之前三名廠商不超過標案</w:t>
            </w:r>
            <w:r w:rsidRPr="003E1F5A">
              <w:rPr>
                <w:rFonts w:eastAsia="標楷體" w:hint="eastAsia"/>
                <w:color w:val="000000" w:themeColor="text1"/>
                <w:kern w:val="0"/>
                <w:sz w:val="22"/>
                <w:szCs w:val="22"/>
              </w:rPr>
              <w:t>10%</w:t>
            </w:r>
            <w:r w:rsidRPr="003E1F5A">
              <w:rPr>
                <w:rFonts w:eastAsia="標楷體" w:hint="eastAsia"/>
                <w:color w:val="000000" w:themeColor="text1"/>
                <w:kern w:val="0"/>
                <w:sz w:val="22"/>
                <w:szCs w:val="22"/>
              </w:rPr>
              <w:t>、限制性招標之採購案不應超過</w:t>
            </w:r>
            <w:r w:rsidRPr="003E1F5A">
              <w:rPr>
                <w:rFonts w:eastAsia="標楷體" w:hint="eastAsia"/>
                <w:color w:val="000000" w:themeColor="text1"/>
                <w:kern w:val="0"/>
                <w:sz w:val="22"/>
                <w:szCs w:val="22"/>
              </w:rPr>
              <w:t>20%</w:t>
            </w:r>
            <w:r w:rsidRPr="003E1F5A">
              <w:rPr>
                <w:rFonts w:eastAsia="標楷體" w:hint="eastAsia"/>
                <w:color w:val="000000" w:themeColor="text1"/>
                <w:kern w:val="0"/>
                <w:sz w:val="22"/>
                <w:szCs w:val="22"/>
              </w:rPr>
              <w:t>之現象，以維持媒體政策</w:t>
            </w:r>
            <w:proofErr w:type="gramStart"/>
            <w:r w:rsidRPr="003E1F5A">
              <w:rPr>
                <w:rFonts w:eastAsia="標楷體" w:hint="eastAsia"/>
                <w:color w:val="000000" w:themeColor="text1"/>
                <w:kern w:val="0"/>
                <w:sz w:val="22"/>
                <w:szCs w:val="22"/>
              </w:rPr>
              <w:t>之衡平性</w:t>
            </w:r>
            <w:proofErr w:type="gramEnd"/>
            <w:r w:rsidRPr="003E1F5A">
              <w:rPr>
                <w:rFonts w:eastAsia="標楷體" w:hint="eastAsia"/>
                <w:color w:val="000000" w:themeColor="text1"/>
                <w:kern w:val="0"/>
                <w:sz w:val="22"/>
                <w:szCs w:val="22"/>
              </w:rPr>
              <w:t>。</w:t>
            </w:r>
          </w:p>
        </w:tc>
        <w:tc>
          <w:tcPr>
            <w:tcW w:w="1882" w:type="pct"/>
          </w:tcPr>
          <w:p w14:paraId="2996042F" w14:textId="2A6ED9EC" w:rsidR="0053622E" w:rsidRPr="003E1F5A" w:rsidRDefault="0053622E" w:rsidP="00FC75A0">
            <w:pPr>
              <w:pStyle w:val="a3"/>
              <w:ind w:left="2" w:hangingChars="1" w:hanging="2"/>
              <w:rPr>
                <w:color w:val="000000" w:themeColor="text1"/>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5DF1A5AF" w14:textId="77777777" w:rsidTr="0053622E">
        <w:trPr>
          <w:trHeight w:val="567"/>
          <w:jc w:val="center"/>
        </w:trPr>
        <w:tc>
          <w:tcPr>
            <w:tcW w:w="479" w:type="pct"/>
          </w:tcPr>
          <w:p w14:paraId="47556DD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(五)</w:t>
            </w:r>
          </w:p>
        </w:tc>
        <w:tc>
          <w:tcPr>
            <w:tcW w:w="2639" w:type="pct"/>
          </w:tcPr>
          <w:p w14:paraId="294E5CE9" w14:textId="5657580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年立院審查預算法修法，於預算法第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明定辦理政策及業務宣導之預算，各主管機關應就其執行情形加強管理，按月於機關資訊公開區公布宣導主題、媒體類型、期程、金額、執行單位等事項，並於主計總處網站專區公布，按季送立法院備查。惟經立院查核</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年至</w:t>
            </w:r>
            <w:r w:rsidRPr="003E1F5A">
              <w:rPr>
                <w:rFonts w:eastAsia="標楷體" w:hint="eastAsia"/>
                <w:color w:val="000000" w:themeColor="text1"/>
                <w:kern w:val="0"/>
                <w:sz w:val="22"/>
                <w:szCs w:val="22"/>
              </w:rPr>
              <w:t>113</w:t>
            </w:r>
            <w:r w:rsidRPr="003E1F5A">
              <w:rPr>
                <w:rFonts w:eastAsia="標楷體" w:hint="eastAsia"/>
                <w:color w:val="000000" w:themeColor="text1"/>
                <w:kern w:val="0"/>
                <w:sz w:val="22"/>
                <w:szCs w:val="22"/>
              </w:rPr>
              <w:t>年各機關執行情形，發現揭露資訊量雖多，</w:t>
            </w:r>
            <w:proofErr w:type="gramStart"/>
            <w:r w:rsidRPr="003E1F5A">
              <w:rPr>
                <w:rFonts w:eastAsia="標楷體" w:hint="eastAsia"/>
                <w:color w:val="000000" w:themeColor="text1"/>
                <w:kern w:val="0"/>
                <w:sz w:val="22"/>
                <w:szCs w:val="22"/>
              </w:rPr>
              <w:t>卻無彙整</w:t>
            </w:r>
            <w:proofErr w:type="gramEnd"/>
            <w:r w:rsidRPr="003E1F5A">
              <w:rPr>
                <w:rFonts w:eastAsia="標楷體" w:hint="eastAsia"/>
                <w:color w:val="000000" w:themeColor="text1"/>
                <w:kern w:val="0"/>
                <w:sz w:val="22"/>
                <w:szCs w:val="22"/>
              </w:rPr>
              <w:t>揭露全年</w:t>
            </w:r>
            <w:proofErr w:type="gramStart"/>
            <w:r w:rsidRPr="003E1F5A">
              <w:rPr>
                <w:rFonts w:eastAsia="標楷體" w:hint="eastAsia"/>
                <w:color w:val="000000" w:themeColor="text1"/>
                <w:kern w:val="0"/>
                <w:sz w:val="22"/>
                <w:szCs w:val="22"/>
              </w:rPr>
              <w:t>整體媒宣費</w:t>
            </w:r>
            <w:proofErr w:type="gramEnd"/>
            <w:r w:rsidRPr="003E1F5A">
              <w:rPr>
                <w:rFonts w:eastAsia="標楷體" w:hint="eastAsia"/>
                <w:color w:val="000000" w:themeColor="text1"/>
                <w:kern w:val="0"/>
                <w:sz w:val="22"/>
                <w:szCs w:val="22"/>
              </w:rPr>
              <w:t>及個別媒體全年度彙整數之資訊，</w:t>
            </w:r>
            <w:proofErr w:type="gramStart"/>
            <w:r w:rsidRPr="003E1F5A">
              <w:rPr>
                <w:rFonts w:eastAsia="標楷體" w:hint="eastAsia"/>
                <w:color w:val="000000" w:themeColor="text1"/>
                <w:kern w:val="0"/>
                <w:sz w:val="22"/>
                <w:szCs w:val="22"/>
              </w:rPr>
              <w:t>又媒宣</w:t>
            </w:r>
            <w:proofErr w:type="gramEnd"/>
            <w:r w:rsidRPr="003E1F5A">
              <w:rPr>
                <w:rFonts w:eastAsia="標楷體" w:hint="eastAsia"/>
                <w:color w:val="000000" w:themeColor="text1"/>
                <w:kern w:val="0"/>
                <w:sz w:val="22"/>
                <w:szCs w:val="22"/>
              </w:rPr>
              <w:t>費多以限制性招標方式辦理，有部分機關得標廠商集中度甚高等待改進之處。致使立院及民眾難</w:t>
            </w:r>
            <w:proofErr w:type="gramStart"/>
            <w:r w:rsidRPr="003E1F5A">
              <w:rPr>
                <w:rFonts w:eastAsia="標楷體" w:hint="eastAsia"/>
                <w:color w:val="000000" w:themeColor="text1"/>
                <w:kern w:val="0"/>
                <w:sz w:val="22"/>
                <w:szCs w:val="22"/>
              </w:rPr>
              <w:t>窺媒宣</w:t>
            </w:r>
            <w:proofErr w:type="gramEnd"/>
            <w:r w:rsidRPr="003E1F5A">
              <w:rPr>
                <w:rFonts w:eastAsia="標楷體" w:hint="eastAsia"/>
                <w:color w:val="000000" w:themeColor="text1"/>
                <w:kern w:val="0"/>
                <w:sz w:val="22"/>
                <w:szCs w:val="22"/>
              </w:rPr>
              <w:t>費整體執行全貌，亦引發外界浪費公</w:t>
            </w:r>
            <w:proofErr w:type="gramStart"/>
            <w:r w:rsidRPr="003E1F5A">
              <w:rPr>
                <w:rFonts w:eastAsia="標楷體" w:hint="eastAsia"/>
                <w:color w:val="000000" w:themeColor="text1"/>
                <w:kern w:val="0"/>
                <w:sz w:val="22"/>
                <w:szCs w:val="22"/>
              </w:rPr>
              <w:t>帑雇用網軍</w:t>
            </w:r>
            <w:proofErr w:type="gramEnd"/>
            <w:r w:rsidRPr="003E1F5A">
              <w:rPr>
                <w:rFonts w:eastAsia="標楷體" w:hint="eastAsia"/>
                <w:color w:val="000000" w:themeColor="text1"/>
                <w:kern w:val="0"/>
                <w:sz w:val="22"/>
                <w:szCs w:val="22"/>
              </w:rPr>
              <w:t>、</w:t>
            </w:r>
            <w:proofErr w:type="gramStart"/>
            <w:r w:rsidRPr="003E1F5A">
              <w:rPr>
                <w:rFonts w:eastAsia="標楷體" w:hint="eastAsia"/>
                <w:color w:val="000000" w:themeColor="text1"/>
                <w:kern w:val="0"/>
                <w:sz w:val="22"/>
                <w:szCs w:val="22"/>
              </w:rPr>
              <w:t>大內宣</w:t>
            </w:r>
            <w:proofErr w:type="gramEnd"/>
            <w:r w:rsidRPr="003E1F5A">
              <w:rPr>
                <w:rFonts w:eastAsia="標楷體" w:hint="eastAsia"/>
                <w:color w:val="000000" w:themeColor="text1"/>
                <w:kern w:val="0"/>
                <w:sz w:val="22"/>
                <w:szCs w:val="22"/>
              </w:rPr>
              <w:t>、掌控媒體輿論之疑慮，</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要求各主管機關應作成每季及年度媒體政策及業務宣傳費預算分析報告，包括得標廠商和標案金額、宣導成效等分析資訊，公布於主計總處網站專區及各主管機關網站。</w:t>
            </w:r>
          </w:p>
        </w:tc>
        <w:tc>
          <w:tcPr>
            <w:tcW w:w="1882" w:type="pct"/>
          </w:tcPr>
          <w:p w14:paraId="7A244ED8" w14:textId="25D34779" w:rsidR="0053622E" w:rsidRPr="003E1F5A" w:rsidRDefault="0053622E" w:rsidP="00FC75A0">
            <w:pPr>
              <w:pStyle w:val="a3"/>
              <w:ind w:left="2" w:hangingChars="1" w:hanging="2"/>
              <w:rPr>
                <w:color w:val="000000" w:themeColor="text1"/>
              </w:rPr>
            </w:pPr>
            <w:r w:rsidRPr="00096FEE">
              <w:rPr>
                <w:rFonts w:hint="eastAsia"/>
                <w:color w:val="000000" w:themeColor="text1"/>
              </w:rPr>
              <w:t>遵照辦理。</w:t>
            </w:r>
          </w:p>
        </w:tc>
      </w:tr>
      <w:tr w:rsidR="0053622E" w:rsidRPr="003E1F5A" w14:paraId="46731A52" w14:textId="77777777" w:rsidTr="0053622E">
        <w:trPr>
          <w:trHeight w:val="567"/>
          <w:jc w:val="center"/>
        </w:trPr>
        <w:tc>
          <w:tcPr>
            <w:tcW w:w="479" w:type="pct"/>
          </w:tcPr>
          <w:p w14:paraId="1A6E1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(六)</w:t>
            </w:r>
          </w:p>
        </w:tc>
        <w:tc>
          <w:tcPr>
            <w:tcW w:w="2639" w:type="pct"/>
          </w:tcPr>
          <w:p w14:paraId="0C5289AA" w14:textId="3509CE7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根據立法院預算中心指出</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年度中央政府公務預算媒體政策及業務宣導費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下</w:t>
            </w:r>
            <w:proofErr w:type="gramStart"/>
            <w:r w:rsidRPr="003E1F5A">
              <w:rPr>
                <w:rFonts w:eastAsia="標楷體" w:hint="eastAsia"/>
                <w:color w:val="000000" w:themeColor="text1"/>
                <w:kern w:val="0"/>
                <w:sz w:val="22"/>
                <w:szCs w:val="22"/>
              </w:rPr>
              <w:t>稱媒宣</w:t>
            </w:r>
            <w:proofErr w:type="gramEnd"/>
            <w:r w:rsidRPr="003E1F5A">
              <w:rPr>
                <w:rFonts w:eastAsia="標楷體" w:hint="eastAsia"/>
                <w:color w:val="000000" w:themeColor="text1"/>
                <w:kern w:val="0"/>
                <w:sz w:val="22"/>
                <w:szCs w:val="22"/>
              </w:rPr>
              <w:t>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由</w:t>
            </w:r>
            <w:r w:rsidRPr="003E1F5A">
              <w:rPr>
                <w:rFonts w:eastAsia="標楷體" w:hint="eastAsia"/>
                <w:color w:val="000000" w:themeColor="text1"/>
                <w:kern w:val="0"/>
                <w:sz w:val="22"/>
                <w:szCs w:val="22"/>
              </w:rPr>
              <w:t>17.03</w:t>
            </w:r>
            <w:r w:rsidRPr="003E1F5A">
              <w:rPr>
                <w:rFonts w:eastAsia="標楷體" w:hint="eastAsia"/>
                <w:color w:val="000000" w:themeColor="text1"/>
                <w:kern w:val="0"/>
                <w:sz w:val="22"/>
                <w:szCs w:val="22"/>
              </w:rPr>
              <w:t>億增至</w:t>
            </w:r>
            <w:r w:rsidRPr="003E1F5A">
              <w:rPr>
                <w:rFonts w:eastAsia="標楷體" w:hint="eastAsia"/>
                <w:color w:val="000000" w:themeColor="text1"/>
                <w:kern w:val="0"/>
                <w:sz w:val="22"/>
                <w:szCs w:val="22"/>
              </w:rPr>
              <w:t>26.5</w:t>
            </w:r>
            <w:r w:rsidRPr="003E1F5A">
              <w:rPr>
                <w:rFonts w:eastAsia="標楷體" w:hint="eastAsia"/>
                <w:color w:val="000000" w:themeColor="text1"/>
                <w:kern w:val="0"/>
                <w:sz w:val="22"/>
                <w:szCs w:val="22"/>
              </w:rPr>
              <w:t>億，按行政院主計總處歷年預算共同項目編列作業</w:t>
            </w:r>
            <w:r w:rsidRPr="003E1F5A">
              <w:rPr>
                <w:rFonts w:eastAsia="標楷體" w:hint="eastAsia"/>
                <w:color w:val="000000" w:themeColor="text1"/>
                <w:kern w:val="0"/>
                <w:sz w:val="22"/>
                <w:szCs w:val="22"/>
              </w:rPr>
              <w:lastRenderedPageBreak/>
              <w:t>皆規定，宣導經費應力求</w:t>
            </w:r>
            <w:proofErr w:type="gramStart"/>
            <w:r>
              <w:rPr>
                <w:rFonts w:eastAsia="標楷體" w:hint="eastAsia"/>
                <w:color w:val="000000" w:themeColor="text1"/>
                <w:kern w:val="0"/>
                <w:sz w:val="22"/>
                <w:szCs w:val="22"/>
              </w:rPr>
              <w:t>撙</w:t>
            </w:r>
            <w:proofErr w:type="gramEnd"/>
            <w:r w:rsidRPr="003E1F5A">
              <w:rPr>
                <w:rFonts w:eastAsia="標楷體" w:hint="eastAsia"/>
                <w:color w:val="000000" w:themeColor="text1"/>
                <w:kern w:val="0"/>
                <w:sz w:val="22"/>
                <w:szCs w:val="22"/>
              </w:rPr>
              <w:t>節、避免浮濫，惟</w:t>
            </w:r>
            <w:proofErr w:type="gramStart"/>
            <w:r w:rsidRPr="003E1F5A">
              <w:rPr>
                <w:rFonts w:eastAsia="標楷體" w:hint="eastAsia"/>
                <w:color w:val="000000" w:themeColor="text1"/>
                <w:kern w:val="0"/>
                <w:sz w:val="22"/>
                <w:szCs w:val="22"/>
              </w:rPr>
              <w:t>每年媒宣費</w:t>
            </w:r>
            <w:proofErr w:type="gramEnd"/>
            <w:r w:rsidRPr="003E1F5A">
              <w:rPr>
                <w:rFonts w:eastAsia="標楷體" w:hint="eastAsia"/>
                <w:color w:val="000000" w:themeColor="text1"/>
                <w:kern w:val="0"/>
                <w:sz w:val="22"/>
                <w:szCs w:val="22"/>
              </w:rPr>
              <w:t>仍然持續增漲，以</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年為例，公務</w:t>
            </w:r>
            <w:proofErr w:type="gramStart"/>
            <w:r w:rsidRPr="003E1F5A">
              <w:rPr>
                <w:rFonts w:eastAsia="標楷體" w:hint="eastAsia"/>
                <w:color w:val="000000" w:themeColor="text1"/>
                <w:kern w:val="0"/>
                <w:sz w:val="22"/>
                <w:szCs w:val="22"/>
              </w:rPr>
              <w:t>預算媒宣費</w:t>
            </w:r>
            <w:proofErr w:type="gramEnd"/>
            <w:r w:rsidRPr="003E1F5A">
              <w:rPr>
                <w:rFonts w:eastAsia="標楷體" w:hint="eastAsia"/>
                <w:color w:val="000000" w:themeColor="text1"/>
                <w:kern w:val="0"/>
                <w:sz w:val="22"/>
                <w:szCs w:val="22"/>
              </w:rPr>
              <w:t>超逾</w:t>
            </w:r>
            <w:r w:rsidRPr="003E1F5A">
              <w:rPr>
                <w:rFonts w:eastAsia="標楷體" w:hint="eastAsia"/>
                <w:color w:val="000000" w:themeColor="text1"/>
                <w:kern w:val="0"/>
                <w:sz w:val="22"/>
                <w:szCs w:val="22"/>
              </w:rPr>
              <w:t>1,000</w:t>
            </w:r>
            <w:r w:rsidRPr="003E1F5A">
              <w:rPr>
                <w:rFonts w:eastAsia="標楷體" w:hint="eastAsia"/>
                <w:color w:val="000000" w:themeColor="text1"/>
                <w:kern w:val="0"/>
                <w:sz w:val="22"/>
                <w:szCs w:val="22"/>
              </w:rPr>
              <w:t>萬元者計</w:t>
            </w:r>
            <w:r w:rsidRPr="003E1F5A">
              <w:rPr>
                <w:rFonts w:eastAsia="標楷體" w:hint="eastAsia"/>
                <w:color w:val="000000" w:themeColor="text1"/>
                <w:kern w:val="0"/>
                <w:sz w:val="22"/>
                <w:szCs w:val="22"/>
              </w:rPr>
              <w:t>19</w:t>
            </w:r>
            <w:r w:rsidRPr="003E1F5A">
              <w:rPr>
                <w:rFonts w:eastAsia="標楷體" w:hint="eastAsia"/>
                <w:color w:val="000000" w:themeColor="text1"/>
                <w:kern w:val="0"/>
                <w:sz w:val="22"/>
                <w:szCs w:val="22"/>
              </w:rPr>
              <w:t>個，增幅介於</w:t>
            </w:r>
            <w:r w:rsidRPr="003E1F5A">
              <w:rPr>
                <w:rFonts w:eastAsia="標楷體" w:hint="eastAsia"/>
                <w:color w:val="000000" w:themeColor="text1"/>
                <w:kern w:val="0"/>
                <w:sz w:val="22"/>
                <w:szCs w:val="22"/>
              </w:rPr>
              <w:t>10.96%</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8,607.92%</w:t>
            </w:r>
            <w:r w:rsidRPr="003E1F5A">
              <w:rPr>
                <w:rFonts w:eastAsia="標楷體" w:hint="eastAsia"/>
                <w:color w:val="000000" w:themeColor="text1"/>
                <w:kern w:val="0"/>
                <w:sz w:val="22"/>
                <w:szCs w:val="22"/>
              </w:rPr>
              <w:t>間，且有部分機關將類似或相同宣導項目之預算分散編列於公務預算、非營業基金或特別預算</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宣導效益更未有客觀評核指標得以佐證，</w:t>
            </w:r>
            <w:proofErr w:type="gramStart"/>
            <w:r w:rsidRPr="003E1F5A">
              <w:rPr>
                <w:rFonts w:eastAsia="標楷體" w:hint="eastAsia"/>
                <w:color w:val="000000" w:themeColor="text1"/>
                <w:kern w:val="0"/>
                <w:sz w:val="22"/>
                <w:szCs w:val="22"/>
              </w:rPr>
              <w:t>恐致媒宣</w:t>
            </w:r>
            <w:proofErr w:type="gramEnd"/>
            <w:r w:rsidRPr="003E1F5A">
              <w:rPr>
                <w:rFonts w:eastAsia="標楷體" w:hint="eastAsia"/>
                <w:color w:val="000000" w:themeColor="text1"/>
                <w:kern w:val="0"/>
                <w:sz w:val="22"/>
                <w:szCs w:val="22"/>
              </w:rPr>
              <w:t>費淪為執政黨培養特定立場媒體的政治工具。綜上，為完整呈現預算全貌，</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各機關編列媒體政策及業務宣導費應於預算書中以表列方式呈現各項目客觀評核指標，以強化監督媒體政策及業務宣導費之實際效益。</w:t>
            </w:r>
          </w:p>
        </w:tc>
        <w:tc>
          <w:tcPr>
            <w:tcW w:w="1882" w:type="pct"/>
          </w:tcPr>
          <w:p w14:paraId="737E1185" w14:textId="3569A681" w:rsidR="0053622E" w:rsidRPr="003E1F5A" w:rsidRDefault="0053622E" w:rsidP="00FC75A0">
            <w:pPr>
              <w:autoSpaceDE w:val="0"/>
              <w:autoSpaceDN w:val="0"/>
              <w:adjustRightInd w:val="0"/>
              <w:spacing w:line="340" w:lineRule="exact"/>
              <w:jc w:val="both"/>
              <w:rPr>
                <w:color w:val="000000" w:themeColor="text1"/>
                <w:sz w:val="22"/>
                <w:szCs w:val="22"/>
              </w:rPr>
            </w:pPr>
            <w:r w:rsidRPr="00096FEE">
              <w:rPr>
                <w:rFonts w:ascii="標楷體" w:eastAsia="標楷體" w:hAnsi="標楷體" w:hint="eastAsia"/>
                <w:color w:val="000000" w:themeColor="text1"/>
                <w:sz w:val="22"/>
              </w:rPr>
              <w:lastRenderedPageBreak/>
              <w:t>遵照辦理。</w:t>
            </w:r>
          </w:p>
        </w:tc>
      </w:tr>
      <w:tr w:rsidR="0053622E" w:rsidRPr="003E1F5A" w14:paraId="72A008AB" w14:textId="77777777" w:rsidTr="0053622E">
        <w:trPr>
          <w:trHeight w:val="567"/>
          <w:jc w:val="center"/>
        </w:trPr>
        <w:tc>
          <w:tcPr>
            <w:tcW w:w="479" w:type="pct"/>
          </w:tcPr>
          <w:p w14:paraId="48C5912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(七)</w:t>
            </w:r>
          </w:p>
        </w:tc>
        <w:tc>
          <w:tcPr>
            <w:tcW w:w="2639" w:type="pct"/>
          </w:tcPr>
          <w:p w14:paraId="480D13D8" w14:textId="6DD998AC"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為強化監督機制，立法院於</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年修正預算法第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要求揭露政策宣導預算執行情形，規定包括平面媒體、廣播媒體、網路媒體（含社群媒體）、電視媒體等經費執行情形應有公開之揭露機制，包括主題、媒體類型、期程、金額、執行單位等，各主管機關需按月在資訊公開區公布相關資訊，及主計總處網站專區公布，並按季送立法院備查。本次審查各機關之出國預算，發現出國考察費用的決算情形及預算編列，往往與執行情形不一，對於考察的執行情況和報告內容缺乏有效驗證機制，難以確認是否符合原計劃目標；且有些考察行程過於形式化，未必對政策制定或執行有實質幫助，可能被質疑為公款旅遊之不良觀感。以上經費可能濫用及效果</w:t>
            </w:r>
            <w:proofErr w:type="gramStart"/>
            <w:r w:rsidRPr="003E1F5A">
              <w:rPr>
                <w:rFonts w:eastAsia="標楷體" w:hint="eastAsia"/>
                <w:color w:val="000000" w:themeColor="text1"/>
                <w:kern w:val="0"/>
                <w:sz w:val="22"/>
                <w:szCs w:val="22"/>
              </w:rPr>
              <w:t>不</w:t>
            </w:r>
            <w:proofErr w:type="gramEnd"/>
            <w:r w:rsidRPr="003E1F5A">
              <w:rPr>
                <w:rFonts w:eastAsia="標楷體" w:hint="eastAsia"/>
                <w:color w:val="000000" w:themeColor="text1"/>
                <w:kern w:val="0"/>
                <w:sz w:val="22"/>
                <w:szCs w:val="22"/>
              </w:rPr>
              <w:t>彰引發之社會質疑，將損害政府公信力，同時與一般民眾對於節省公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的期待背道而馳，故有改善及公開透明之必要。例如數發部編列</w:t>
            </w:r>
            <w:r w:rsidRPr="003E1F5A">
              <w:rPr>
                <w:rFonts w:eastAsia="標楷體" w:hint="eastAsia"/>
                <w:color w:val="000000" w:themeColor="text1"/>
                <w:kern w:val="0"/>
                <w:sz w:val="22"/>
                <w:szCs w:val="22"/>
              </w:rPr>
              <w:t>2200</w:t>
            </w:r>
            <w:r w:rsidRPr="003E1F5A">
              <w:rPr>
                <w:rFonts w:eastAsia="標楷體" w:hint="eastAsia"/>
                <w:color w:val="000000" w:themeColor="text1"/>
                <w:kern w:val="0"/>
                <w:sz w:val="22"/>
                <w:szCs w:val="22"/>
              </w:rPr>
              <w:t>多萬元出國預算，比外交部還多，</w:t>
            </w:r>
            <w:r w:rsidRPr="003E1F5A">
              <w:rPr>
                <w:rFonts w:eastAsia="標楷體" w:hint="eastAsia"/>
                <w:color w:val="000000" w:themeColor="text1"/>
                <w:kern w:val="0"/>
                <w:sz w:val="22"/>
                <w:szCs w:val="22"/>
              </w:rPr>
              <w:t>200</w:t>
            </w:r>
            <w:r w:rsidRPr="003E1F5A">
              <w:rPr>
                <w:rFonts w:eastAsia="標楷體" w:hint="eastAsia"/>
                <w:color w:val="000000" w:themeColor="text1"/>
                <w:kern w:val="0"/>
                <w:sz w:val="22"/>
                <w:szCs w:val="22"/>
              </w:rPr>
              <w:t>多人平均</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人有</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萬元以上旅費。又例如，行政院</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年原定</w:t>
            </w:r>
            <w:r w:rsidRPr="003E1F5A">
              <w:rPr>
                <w:rFonts w:eastAsia="標楷體" w:hint="eastAsia"/>
                <w:color w:val="000000" w:themeColor="text1"/>
                <w:kern w:val="0"/>
                <w:sz w:val="22"/>
                <w:szCs w:val="22"/>
              </w:rPr>
              <w:t>22</w:t>
            </w:r>
            <w:r w:rsidRPr="003E1F5A">
              <w:rPr>
                <w:rFonts w:eastAsia="標楷體" w:hint="eastAsia"/>
                <w:color w:val="000000" w:themeColor="text1"/>
                <w:kern w:val="0"/>
                <w:sz w:val="22"/>
                <w:szCs w:val="22"/>
              </w:rPr>
              <w:t>項出國計畫，實際執行僅</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項，變更</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項，變更率高達</w:t>
            </w:r>
            <w:r w:rsidRPr="003E1F5A">
              <w:rPr>
                <w:rFonts w:eastAsia="標楷體" w:hint="eastAsia"/>
                <w:color w:val="000000" w:themeColor="text1"/>
                <w:kern w:val="0"/>
                <w:sz w:val="22"/>
                <w:szCs w:val="22"/>
              </w:rPr>
              <w:t>36.36%</w:t>
            </w:r>
            <w:r w:rsidRPr="003E1F5A">
              <w:rPr>
                <w:rFonts w:eastAsia="標楷體" w:hint="eastAsia"/>
                <w:color w:val="000000" w:themeColor="text1"/>
                <w:kern w:val="0"/>
                <w:sz w:val="22"/>
                <w:szCs w:val="22"/>
              </w:rPr>
              <w:t>；</w:t>
            </w:r>
            <w:r w:rsidRPr="003E1F5A">
              <w:rPr>
                <w:rFonts w:eastAsia="標楷體" w:hint="eastAsia"/>
                <w:color w:val="000000" w:themeColor="text1"/>
                <w:kern w:val="0"/>
                <w:sz w:val="22"/>
                <w:szCs w:val="22"/>
              </w:rPr>
              <w:t>2023</w:t>
            </w:r>
            <w:r w:rsidRPr="003E1F5A">
              <w:rPr>
                <w:rFonts w:eastAsia="標楷體" w:hint="eastAsia"/>
                <w:color w:val="000000" w:themeColor="text1"/>
                <w:kern w:val="0"/>
                <w:sz w:val="22"/>
                <w:szCs w:val="22"/>
              </w:rPr>
              <w:t>年的出國計畫變</w:t>
            </w:r>
            <w:r>
              <w:rPr>
                <w:rFonts w:eastAsia="標楷體" w:hint="eastAsia"/>
                <w:color w:val="000000" w:themeColor="text1"/>
                <w:kern w:val="0"/>
                <w:sz w:val="22"/>
                <w:szCs w:val="22"/>
              </w:rPr>
              <w:t>更率</w:t>
            </w:r>
            <w:r w:rsidRPr="003E1F5A">
              <w:rPr>
                <w:rFonts w:eastAsia="標楷體" w:hint="eastAsia"/>
                <w:color w:val="000000" w:themeColor="text1"/>
                <w:kern w:val="0"/>
                <w:sz w:val="22"/>
                <w:szCs w:val="22"/>
              </w:rPr>
              <w:t>攀升至</w:t>
            </w:r>
            <w:r w:rsidRPr="003E1F5A">
              <w:rPr>
                <w:rFonts w:eastAsia="標楷體" w:hint="eastAsia"/>
                <w:color w:val="000000" w:themeColor="text1"/>
                <w:kern w:val="0"/>
                <w:sz w:val="22"/>
                <w:szCs w:val="22"/>
              </w:rPr>
              <w:t>58.82%</w:t>
            </w:r>
            <w:r w:rsidRPr="003E1F5A">
              <w:rPr>
                <w:rFonts w:eastAsia="標楷體" w:hint="eastAsia"/>
                <w:color w:val="000000" w:themeColor="text1"/>
                <w:kern w:val="0"/>
                <w:sz w:val="22"/>
                <w:szCs w:val="22"/>
              </w:rPr>
              <w:t>，完全偏離年度計畫的原則。對於「中央政府各機關派員出國計畫及國外旅費之執行檢討」立法院已有多次研究報告建議，各主管機關應針對派員出國年度計畫之擬定、預算編列、經費支用控管、計畫變更程序、相關業務人員選派及事前評估與準備等辦理原則，建立派員出國計畫之標準作業程序（</w:t>
            </w:r>
            <w:r w:rsidRPr="003E1F5A">
              <w:rPr>
                <w:rFonts w:eastAsia="標楷體" w:hint="eastAsia"/>
                <w:color w:val="000000" w:themeColor="text1"/>
                <w:kern w:val="0"/>
                <w:sz w:val="22"/>
                <w:szCs w:val="22"/>
              </w:rPr>
              <w:t>SOP</w:t>
            </w:r>
            <w:r w:rsidRPr="003E1F5A">
              <w:rPr>
                <w:rFonts w:eastAsia="標楷體" w:hint="eastAsia"/>
                <w:color w:val="000000" w:themeColor="text1"/>
                <w:kern w:val="0"/>
                <w:sz w:val="22"/>
                <w:szCs w:val="22"/>
              </w:rPr>
              <w:t>）。同時，出國計畫之替代方案多元，如透過國內專家學者訪談或座談，及請求駐外機構協助撰寫報告等，尚非一定要編列出國考察之經費，以節省公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。基於以上原因，應參照預算法第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經費公開揭露之精神，要求各機關按月公開出國考察費用明</w:t>
            </w:r>
            <w:r w:rsidRPr="003E1F5A">
              <w:rPr>
                <w:rFonts w:eastAsia="標楷體" w:hint="eastAsia"/>
                <w:color w:val="000000" w:themeColor="text1"/>
                <w:kern w:val="0"/>
                <w:sz w:val="22"/>
                <w:szCs w:val="22"/>
              </w:rPr>
              <w:lastRenderedPageBreak/>
              <w:t>細，包括考察目的、地點、參與人員、經費、實際成果等內容；同時在行政院或主計總處設立專區，集中展示資訊，便於公眾查詢和監督，使經費使用透明，並且按季將相關執行情況送交立法院備查，確保立法機關有效監督，回應社會對政府財政紀律的期許。</w:t>
            </w:r>
          </w:p>
        </w:tc>
        <w:tc>
          <w:tcPr>
            <w:tcW w:w="1882" w:type="pct"/>
          </w:tcPr>
          <w:p w14:paraId="17C4C401" w14:textId="51094F25"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w:t>
            </w:r>
            <w:r w:rsidRPr="003E1F5A">
              <w:rPr>
                <w:rFonts w:cs="新細明體" w:hint="eastAsia"/>
                <w:color w:val="000000" w:themeColor="text1"/>
                <w:kern w:val="0"/>
              </w:rPr>
              <w:t>國家發展委員會</w:t>
            </w:r>
            <w:r w:rsidRPr="003E1F5A">
              <w:rPr>
                <w:rFonts w:hint="eastAsia"/>
                <w:bCs/>
                <w:color w:val="000000" w:themeColor="text1"/>
              </w:rPr>
              <w:t>應辦事項。</w:t>
            </w:r>
          </w:p>
        </w:tc>
      </w:tr>
      <w:tr w:rsidR="0053622E" w:rsidRPr="003E1F5A" w14:paraId="0648BCEC" w14:textId="77777777" w:rsidTr="0053622E">
        <w:trPr>
          <w:trHeight w:val="567"/>
          <w:jc w:val="center"/>
        </w:trPr>
        <w:tc>
          <w:tcPr>
            <w:tcW w:w="479" w:type="pct"/>
          </w:tcPr>
          <w:p w14:paraId="00796BB4" w14:textId="307E14D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(八)</w:t>
            </w:r>
          </w:p>
        </w:tc>
        <w:tc>
          <w:tcPr>
            <w:tcW w:w="2639" w:type="pct"/>
          </w:tcPr>
          <w:p w14:paraId="4D259B4D" w14:textId="5F6BD3CE"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依中央對直轄市及縣（市）政府補助辦法（下稱補助辦法）規定，中央對地方政府補助事項包含補助直轄市、縣（市）政府基本財政收支差短與定額設算之教育、社會福利及基本設施等一般性補助、計畫型補助及重大事項之專案補助等，其中計畫型補助範圍又以計畫效益涵蓋面廣，</w:t>
            </w:r>
            <w:proofErr w:type="gramStart"/>
            <w:r w:rsidRPr="003E1F5A">
              <w:rPr>
                <w:rFonts w:eastAsia="標楷體" w:hint="eastAsia"/>
                <w:color w:val="000000" w:themeColor="text1"/>
                <w:kern w:val="0"/>
                <w:sz w:val="22"/>
                <w:szCs w:val="22"/>
              </w:rPr>
              <w:t>且具整體性</w:t>
            </w:r>
            <w:proofErr w:type="gramEnd"/>
            <w:r w:rsidRPr="003E1F5A">
              <w:rPr>
                <w:rFonts w:eastAsia="標楷體" w:hint="eastAsia"/>
                <w:color w:val="000000" w:themeColor="text1"/>
                <w:kern w:val="0"/>
                <w:sz w:val="22"/>
                <w:szCs w:val="22"/>
              </w:rPr>
              <w:t>之計畫項目，跨越直轄市、縣（市）或二個以上縣（市）之建設計畫，具有示範性作用之重大建設計畫，及因應中央重大政策或建設，需由直轄市或縣（市）政府配合辦理等</w:t>
            </w:r>
            <w:r w:rsidRPr="003E1F5A">
              <w:rPr>
                <w:rFonts w:eastAsia="標楷體" w:hint="eastAsia"/>
                <w:color w:val="000000" w:themeColor="text1"/>
                <w:kern w:val="0"/>
                <w:sz w:val="22"/>
                <w:szCs w:val="22"/>
              </w:rPr>
              <w:t>4</w:t>
            </w:r>
            <w:r w:rsidRPr="003E1F5A">
              <w:rPr>
                <w:rFonts w:eastAsia="標楷體" w:hint="eastAsia"/>
                <w:color w:val="000000" w:themeColor="text1"/>
                <w:kern w:val="0"/>
                <w:sz w:val="22"/>
                <w:szCs w:val="22"/>
              </w:rPr>
              <w:t>項為限。中央各機關透過計畫型補助款</w:t>
            </w:r>
            <w:proofErr w:type="gramStart"/>
            <w:r w:rsidRPr="003E1F5A">
              <w:rPr>
                <w:rFonts w:eastAsia="標楷體" w:hint="eastAsia"/>
                <w:color w:val="000000" w:themeColor="text1"/>
                <w:kern w:val="0"/>
                <w:sz w:val="22"/>
                <w:szCs w:val="22"/>
              </w:rPr>
              <w:t>挹</w:t>
            </w:r>
            <w:proofErr w:type="gramEnd"/>
            <w:r w:rsidRPr="003E1F5A">
              <w:rPr>
                <w:rFonts w:eastAsia="標楷體" w:hint="eastAsia"/>
                <w:color w:val="000000" w:themeColor="text1"/>
                <w:kern w:val="0"/>
                <w:sz w:val="22"/>
                <w:szCs w:val="22"/>
              </w:rPr>
              <w:t>注地方財源，以導引地方政府達成其政策目標，執行成果已具成效。</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部分計畫偏離補助辦法原定範疇，或屬一般性經常支出，其性質多屬常態性補助，或</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定額補助、或依市縣人口比率、或依增加之低收入戶人數比例等分配補助經費，與計畫型補助款應按補助項目性質，訂定對地方政府所提補助計畫有關財務計畫檢核基礎規範，</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利評定成績並排列優先順序依序補助之性質未盡相符。又補助辦法第</w:t>
            </w:r>
            <w:r w:rsidRPr="003E1F5A">
              <w:rPr>
                <w:rFonts w:eastAsia="標楷體" w:hint="eastAsia"/>
                <w:color w:val="000000" w:themeColor="text1"/>
                <w:kern w:val="0"/>
                <w:sz w:val="22"/>
                <w:szCs w:val="22"/>
              </w:rPr>
              <w:t>15</w:t>
            </w:r>
            <w:r w:rsidRPr="003E1F5A">
              <w:rPr>
                <w:rFonts w:eastAsia="標楷體" w:hint="eastAsia"/>
                <w:color w:val="000000" w:themeColor="text1"/>
                <w:kern w:val="0"/>
                <w:sz w:val="22"/>
                <w:szCs w:val="22"/>
              </w:rPr>
              <w:t>條第</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項規定，中央政府各主管機關應就計畫型補助款之執行，訂定共同性或個別計畫之管考規定，明定補助計畫之辦理期程及完成期限及補助計畫執行之查核點及管考週期，並定期進行書面或實地查核。</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部分機關未將管考規定函報行政院備查，或</w:t>
            </w:r>
            <w:proofErr w:type="gramStart"/>
            <w:r w:rsidRPr="003E1F5A">
              <w:rPr>
                <w:rFonts w:eastAsia="標楷體" w:hint="eastAsia"/>
                <w:color w:val="000000" w:themeColor="text1"/>
                <w:kern w:val="0"/>
                <w:sz w:val="22"/>
                <w:szCs w:val="22"/>
              </w:rPr>
              <w:t>所訂管考</w:t>
            </w:r>
            <w:proofErr w:type="gramEnd"/>
            <w:r w:rsidRPr="003E1F5A">
              <w:rPr>
                <w:rFonts w:eastAsia="標楷體" w:hint="eastAsia"/>
                <w:color w:val="000000" w:themeColor="text1"/>
                <w:kern w:val="0"/>
                <w:sz w:val="22"/>
                <w:szCs w:val="22"/>
              </w:rPr>
              <w:t>規定未盡周延。</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於中央主管機關辦理計畫型補助項目繁多，其施政目標、期程功能、規模差異性極大，允宜</w:t>
            </w:r>
            <w:proofErr w:type="gramStart"/>
            <w:r w:rsidRPr="003E1F5A">
              <w:rPr>
                <w:rFonts w:eastAsia="標楷體" w:hint="eastAsia"/>
                <w:color w:val="000000" w:themeColor="text1"/>
                <w:kern w:val="0"/>
                <w:sz w:val="22"/>
                <w:szCs w:val="22"/>
              </w:rPr>
              <w:t>釐</w:t>
            </w:r>
            <w:proofErr w:type="gramEnd"/>
            <w:r w:rsidRPr="003E1F5A">
              <w:rPr>
                <w:rFonts w:eastAsia="標楷體" w:hint="eastAsia"/>
                <w:color w:val="000000" w:themeColor="text1"/>
                <w:kern w:val="0"/>
                <w:sz w:val="22"/>
                <w:szCs w:val="22"/>
              </w:rPr>
              <w:t>清管考</w:t>
            </w:r>
            <w:proofErr w:type="gramStart"/>
            <w:r w:rsidRPr="003E1F5A">
              <w:rPr>
                <w:rFonts w:eastAsia="標楷體" w:hint="eastAsia"/>
                <w:color w:val="000000" w:themeColor="text1"/>
                <w:kern w:val="0"/>
                <w:sz w:val="22"/>
                <w:szCs w:val="22"/>
              </w:rPr>
              <w:t>規定應函報</w:t>
            </w:r>
            <w:proofErr w:type="gramEnd"/>
            <w:r w:rsidRPr="003E1F5A">
              <w:rPr>
                <w:rFonts w:eastAsia="標楷體" w:hint="eastAsia"/>
                <w:color w:val="000000" w:themeColor="text1"/>
                <w:kern w:val="0"/>
                <w:sz w:val="22"/>
                <w:szCs w:val="22"/>
              </w:rPr>
              <w:t>該院備查之範疇，及督促中央主管機關完備管考機制。有</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於近年來計畫型補助款之規模逐年擴增，部分計畫偏離原定範疇，且補助資訊及管考結果之公開未盡完整透明，其執行結果未能達到預期效益，</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年度起，各機關編列計畫型補助經費應於單位預算書中以表列方式呈現，並檢附中央補助機關管考機制，以強化補助款配置及運用效益。</w:t>
            </w:r>
          </w:p>
        </w:tc>
        <w:tc>
          <w:tcPr>
            <w:tcW w:w="1882" w:type="pct"/>
          </w:tcPr>
          <w:p w14:paraId="0DDD851F" w14:textId="5396E8BF" w:rsidR="0053622E" w:rsidRPr="003E1F5A" w:rsidRDefault="0053622E" w:rsidP="00FC75A0">
            <w:pPr>
              <w:pStyle w:val="a3"/>
              <w:ind w:left="2" w:hangingChars="1" w:hanging="2"/>
              <w:rPr>
                <w:color w:val="000000" w:themeColor="text1"/>
              </w:rPr>
            </w:pPr>
            <w:r w:rsidRPr="003E1F5A">
              <w:rPr>
                <w:rFonts w:hint="eastAsia"/>
                <w:bCs/>
                <w:color w:val="000000" w:themeColor="text1"/>
              </w:rPr>
              <w:t>司法院及所屬各機關無對地方政府補助，</w:t>
            </w:r>
            <w:proofErr w:type="gramStart"/>
            <w:r w:rsidRPr="003E1F5A">
              <w:rPr>
                <w:rFonts w:hint="eastAsia"/>
                <w:bCs/>
                <w:color w:val="000000" w:themeColor="text1"/>
              </w:rPr>
              <w:t>爰</w:t>
            </w:r>
            <w:proofErr w:type="gramEnd"/>
            <w:r w:rsidRPr="003E1F5A">
              <w:rPr>
                <w:rFonts w:hint="eastAsia"/>
                <w:bCs/>
                <w:color w:val="000000" w:themeColor="text1"/>
              </w:rPr>
              <w:t>本決議無須辦事項。</w:t>
            </w:r>
          </w:p>
        </w:tc>
      </w:tr>
      <w:tr w:rsidR="0053622E" w:rsidRPr="003E1F5A" w14:paraId="7D7A18F6" w14:textId="77777777" w:rsidTr="0053622E">
        <w:trPr>
          <w:trHeight w:val="397"/>
          <w:jc w:val="center"/>
        </w:trPr>
        <w:tc>
          <w:tcPr>
            <w:tcW w:w="479" w:type="pct"/>
          </w:tcPr>
          <w:p w14:paraId="2F84683A" w14:textId="42D8F13D"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(九)</w:t>
            </w:r>
          </w:p>
        </w:tc>
        <w:tc>
          <w:tcPr>
            <w:tcW w:w="2639" w:type="pct"/>
          </w:tcPr>
          <w:p w14:paraId="494B6833" w14:textId="1AA4B477"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中央政府各單位之預算通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項目辦理情形係列於預算案中的「立法院審議中央政府總預算案所提決議、附帶決議及注意辦理事項辦理情形報告表」，惟「辦理情形」欄</w:t>
            </w:r>
            <w:r w:rsidRPr="003E1F5A">
              <w:rPr>
                <w:rFonts w:eastAsia="標楷體" w:hint="eastAsia"/>
                <w:color w:val="000000" w:themeColor="text1"/>
                <w:kern w:val="0"/>
                <w:sz w:val="22"/>
                <w:szCs w:val="22"/>
              </w:rPr>
              <w:lastRenderedPageBreak/>
              <w:t>位所列之內容，各單位書寫方式不同，大部分單位未列預算勻支或替代科目，恐有資本門預算</w:t>
            </w:r>
            <w:proofErr w:type="gramStart"/>
            <w:r w:rsidRPr="003E1F5A">
              <w:rPr>
                <w:rFonts w:eastAsia="標楷體" w:hint="eastAsia"/>
                <w:color w:val="000000" w:themeColor="text1"/>
                <w:kern w:val="0"/>
                <w:sz w:val="22"/>
                <w:szCs w:val="22"/>
              </w:rPr>
              <w:t>科目誤流用</w:t>
            </w:r>
            <w:proofErr w:type="gramEnd"/>
            <w:r w:rsidRPr="003E1F5A">
              <w:rPr>
                <w:rFonts w:eastAsia="標楷體" w:hint="eastAsia"/>
                <w:color w:val="000000" w:themeColor="text1"/>
                <w:kern w:val="0"/>
                <w:sz w:val="22"/>
                <w:szCs w:val="22"/>
              </w:rPr>
              <w:t>之虞。</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提案要求行政院主計總處針對「立法院審議中央政府總預算案所提決議、附帶決議及注意辦理事項辦理情形報告表」中之通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決議，檢討與</w:t>
            </w:r>
            <w:proofErr w:type="gramStart"/>
            <w:r w:rsidRPr="003E1F5A">
              <w:rPr>
                <w:rFonts w:eastAsia="標楷體" w:hint="eastAsia"/>
                <w:color w:val="000000" w:themeColor="text1"/>
                <w:kern w:val="0"/>
                <w:sz w:val="22"/>
                <w:szCs w:val="22"/>
              </w:rPr>
              <w:t>研</w:t>
            </w:r>
            <w:proofErr w:type="gramEnd"/>
            <w:r w:rsidRPr="003E1F5A">
              <w:rPr>
                <w:rFonts w:eastAsia="標楷體" w:hint="eastAsia"/>
                <w:color w:val="000000" w:themeColor="text1"/>
                <w:kern w:val="0"/>
                <w:sz w:val="22"/>
                <w:szCs w:val="22"/>
              </w:rPr>
              <w:t>議修正其概算書表格式與內容，明確規範應載明通</w:t>
            </w:r>
            <w:proofErr w:type="gramStart"/>
            <w:r>
              <w:rPr>
                <w:rFonts w:eastAsia="標楷體" w:hint="eastAsia"/>
                <w:color w:val="000000" w:themeColor="text1"/>
                <w:kern w:val="0"/>
                <w:sz w:val="22"/>
                <w:szCs w:val="22"/>
              </w:rPr>
              <w:t>刪</w:t>
            </w:r>
            <w:r w:rsidRPr="003E1F5A">
              <w:rPr>
                <w:rFonts w:eastAsia="標楷體" w:hint="eastAsia"/>
                <w:color w:val="000000" w:themeColor="text1"/>
                <w:kern w:val="0"/>
                <w:sz w:val="22"/>
                <w:szCs w:val="22"/>
              </w:rPr>
              <w:t>項目之勻支</w:t>
            </w:r>
            <w:proofErr w:type="gramEnd"/>
            <w:r w:rsidRPr="003E1F5A">
              <w:rPr>
                <w:rFonts w:eastAsia="標楷體" w:hint="eastAsia"/>
                <w:color w:val="000000" w:themeColor="text1"/>
                <w:kern w:val="0"/>
                <w:sz w:val="22"/>
                <w:szCs w:val="22"/>
              </w:rPr>
              <w:t>或替代情形，且不得以資本門替代經常門，</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利政府財政透明，並於</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個月內向立法院財政委員會提出書面報告。</w:t>
            </w:r>
          </w:p>
        </w:tc>
        <w:tc>
          <w:tcPr>
            <w:tcW w:w="1882" w:type="pct"/>
          </w:tcPr>
          <w:p w14:paraId="32C65365" w14:textId="13FE8BA2"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屬行政院主計總處應辦事項。</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276CE3">
      <w:headerReference w:type="default" r:id="rId8"/>
      <w:footerReference w:type="even" r:id="rId9"/>
      <w:footerReference w:type="default" r:id="rId10"/>
      <w:pgSz w:w="11906" w:h="16838"/>
      <w:pgMar w:top="1134" w:right="567" w:bottom="902" w:left="851" w:header="851" w:footer="589" w:gutter="0"/>
      <w:pgNumType w:start="62"/>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C5BDEC" w14:textId="77777777" w:rsidR="00121CE9" w:rsidRDefault="00121CE9">
      <w:r>
        <w:separator/>
      </w:r>
    </w:p>
  </w:endnote>
  <w:endnote w:type="continuationSeparator" w:id="0">
    <w:p w14:paraId="59079AC2" w14:textId="77777777" w:rsidR="00121CE9" w:rsidRDefault="00121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229CE8E2"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531292">
      <w:rPr>
        <w:rStyle w:val="a8"/>
        <w:noProof/>
      </w:rPr>
      <w:t>70</w:t>
    </w:r>
    <w:r>
      <w:rPr>
        <w:rStyle w:val="a8"/>
      </w:rPr>
      <w:fldChar w:fldCharType="end"/>
    </w:r>
  </w:p>
  <w:p w14:paraId="34C81BA8" w14:textId="7DEA1909" w:rsidR="001A579C" w:rsidRDefault="001A579C" w:rsidP="00276CE3">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C929A8" w14:textId="77777777" w:rsidR="00121CE9" w:rsidRDefault="00121CE9">
      <w:r>
        <w:separator/>
      </w:r>
    </w:p>
  </w:footnote>
  <w:footnote w:type="continuationSeparator" w:id="0">
    <w:p w14:paraId="0227268D" w14:textId="77777777" w:rsidR="00121CE9" w:rsidRDefault="00121C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5DC0AC20" w:rsidR="001A579C" w:rsidRDefault="00531292">
    <w:pPr>
      <w:jc w:val="center"/>
      <w:rPr>
        <w:rFonts w:eastAsia="標楷體"/>
        <w:noProof/>
        <w:sz w:val="28"/>
        <w:szCs w:val="28"/>
      </w:rPr>
    </w:pPr>
    <w:r>
      <w:rPr>
        <w:rFonts w:eastAsia="標楷體" w:hint="eastAsia"/>
        <w:noProof/>
        <w:sz w:val="28"/>
        <w:szCs w:val="28"/>
      </w:rPr>
      <w:t>臺灣臺南地方法院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271DEDB5"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w:t>
    </w:r>
    <w:r w:rsidR="00D1092F">
      <w:rPr>
        <w:rFonts w:ascii="Arial" w:eastAsia="標楷體" w:hAnsi="Arial" w:hint="eastAsia"/>
        <w:kern w:val="2"/>
      </w:rPr>
      <w:t>4</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40544"/>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24C5A52"/>
    <w:multiLevelType w:val="hybridMultilevel"/>
    <w:tmpl w:val="ADFAEB92"/>
    <w:lvl w:ilvl="0" w:tplc="0E7CE984">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224D61"/>
    <w:multiLevelType w:val="hybridMultilevel"/>
    <w:tmpl w:val="77186D04"/>
    <w:lvl w:ilvl="0" w:tplc="3398A9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3B7C53"/>
    <w:multiLevelType w:val="hybridMultilevel"/>
    <w:tmpl w:val="523AF358"/>
    <w:lvl w:ilvl="0" w:tplc="C632E978">
      <w:start w:val="1"/>
      <w:numFmt w:val="taiwaneseCountingThousand"/>
      <w:lvlText w:val="%1、"/>
      <w:lvlJc w:val="left"/>
      <w:pPr>
        <w:ind w:left="2511" w:hanging="384"/>
      </w:pPr>
      <w:rPr>
        <w:rFonts w:hint="default"/>
      </w:rPr>
    </w:lvl>
    <w:lvl w:ilvl="1" w:tplc="04090019" w:tentative="1">
      <w:start w:val="1"/>
      <w:numFmt w:val="ideographTraditional"/>
      <w:lvlText w:val="%2、"/>
      <w:lvlJc w:val="left"/>
      <w:pPr>
        <w:ind w:left="3087" w:hanging="480"/>
      </w:pPr>
    </w:lvl>
    <w:lvl w:ilvl="2" w:tplc="0409001B" w:tentative="1">
      <w:start w:val="1"/>
      <w:numFmt w:val="lowerRoman"/>
      <w:lvlText w:val="%3."/>
      <w:lvlJc w:val="right"/>
      <w:pPr>
        <w:ind w:left="3567" w:hanging="480"/>
      </w:pPr>
    </w:lvl>
    <w:lvl w:ilvl="3" w:tplc="0409000F" w:tentative="1">
      <w:start w:val="1"/>
      <w:numFmt w:val="decimal"/>
      <w:lvlText w:val="%4."/>
      <w:lvlJc w:val="left"/>
      <w:pPr>
        <w:ind w:left="4047" w:hanging="480"/>
      </w:pPr>
    </w:lvl>
    <w:lvl w:ilvl="4" w:tplc="04090019" w:tentative="1">
      <w:start w:val="1"/>
      <w:numFmt w:val="ideographTraditional"/>
      <w:lvlText w:val="%5、"/>
      <w:lvlJc w:val="left"/>
      <w:pPr>
        <w:ind w:left="4527" w:hanging="480"/>
      </w:pPr>
    </w:lvl>
    <w:lvl w:ilvl="5" w:tplc="0409001B" w:tentative="1">
      <w:start w:val="1"/>
      <w:numFmt w:val="lowerRoman"/>
      <w:lvlText w:val="%6."/>
      <w:lvlJc w:val="right"/>
      <w:pPr>
        <w:ind w:left="5007" w:hanging="480"/>
      </w:pPr>
    </w:lvl>
    <w:lvl w:ilvl="6" w:tplc="0409000F" w:tentative="1">
      <w:start w:val="1"/>
      <w:numFmt w:val="decimal"/>
      <w:lvlText w:val="%7."/>
      <w:lvlJc w:val="left"/>
      <w:pPr>
        <w:ind w:left="5487" w:hanging="480"/>
      </w:pPr>
    </w:lvl>
    <w:lvl w:ilvl="7" w:tplc="04090019" w:tentative="1">
      <w:start w:val="1"/>
      <w:numFmt w:val="ideographTraditional"/>
      <w:lvlText w:val="%8、"/>
      <w:lvlJc w:val="left"/>
      <w:pPr>
        <w:ind w:left="5967" w:hanging="480"/>
      </w:pPr>
    </w:lvl>
    <w:lvl w:ilvl="8" w:tplc="0409001B" w:tentative="1">
      <w:start w:val="1"/>
      <w:numFmt w:val="lowerRoman"/>
      <w:lvlText w:val="%9."/>
      <w:lvlJc w:val="right"/>
      <w:pPr>
        <w:ind w:left="6447" w:hanging="480"/>
      </w:pPr>
    </w:lvl>
  </w:abstractNum>
  <w:abstractNum w:abstractNumId="4" w15:restartNumberingAfterBreak="0">
    <w:nsid w:val="074A6507"/>
    <w:multiLevelType w:val="hybridMultilevel"/>
    <w:tmpl w:val="2D9E60C0"/>
    <w:lvl w:ilvl="0" w:tplc="44CCD3BA">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93A2FEC"/>
    <w:multiLevelType w:val="hybridMultilevel"/>
    <w:tmpl w:val="EDFC84E8"/>
    <w:lvl w:ilvl="0" w:tplc="9AAE95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E8C4F5F"/>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65588B"/>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C93590"/>
    <w:multiLevelType w:val="hybridMultilevel"/>
    <w:tmpl w:val="9768FD66"/>
    <w:lvl w:ilvl="0" w:tplc="842038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BBE78DF"/>
    <w:multiLevelType w:val="hybridMultilevel"/>
    <w:tmpl w:val="BE24F7A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E670A15"/>
    <w:multiLevelType w:val="hybridMultilevel"/>
    <w:tmpl w:val="0DF60642"/>
    <w:lvl w:ilvl="0" w:tplc="FE2A18F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23872B65"/>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62F05BB"/>
    <w:multiLevelType w:val="hybridMultilevel"/>
    <w:tmpl w:val="16F06726"/>
    <w:lvl w:ilvl="0" w:tplc="5FC444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28D23093"/>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2E0C485E"/>
    <w:multiLevelType w:val="hybridMultilevel"/>
    <w:tmpl w:val="24C297A0"/>
    <w:lvl w:ilvl="0" w:tplc="654EE81E">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2F0C2D48"/>
    <w:multiLevelType w:val="hybridMultilevel"/>
    <w:tmpl w:val="43069708"/>
    <w:lvl w:ilvl="0" w:tplc="44783C5E">
      <w:start w:val="1"/>
      <w:numFmt w:val="taiwaneseCountingThousand"/>
      <w:lvlText w:val="%1、"/>
      <w:lvlJc w:val="left"/>
      <w:pPr>
        <w:ind w:left="384" w:hanging="384"/>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3027746F"/>
    <w:multiLevelType w:val="hybridMultilevel"/>
    <w:tmpl w:val="3FEA86FE"/>
    <w:lvl w:ilvl="0" w:tplc="56463E2A">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31641313"/>
    <w:multiLevelType w:val="hybridMultilevel"/>
    <w:tmpl w:val="5E3A64F6"/>
    <w:lvl w:ilvl="0" w:tplc="1854A19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322502E3"/>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34CB01BC"/>
    <w:multiLevelType w:val="hybridMultilevel"/>
    <w:tmpl w:val="C09CCDAC"/>
    <w:lvl w:ilvl="0" w:tplc="268E826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469B5D32"/>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517B127E"/>
    <w:multiLevelType w:val="hybridMultilevel"/>
    <w:tmpl w:val="4A6434DA"/>
    <w:lvl w:ilvl="0" w:tplc="ED0ED81A">
      <w:start w:val="1"/>
      <w:numFmt w:val="taiwaneseCountingThousand"/>
      <w:lvlText w:val="%1、"/>
      <w:lvlJc w:val="left"/>
      <w:pPr>
        <w:ind w:left="360" w:hanging="360"/>
      </w:pPr>
      <w:rPr>
        <w:rFonts w:hint="default"/>
        <w:color w:val="000000" w:themeColor="text1"/>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51CD797A"/>
    <w:multiLevelType w:val="hybridMultilevel"/>
    <w:tmpl w:val="24902A78"/>
    <w:lvl w:ilvl="0" w:tplc="7FDA4174">
      <w:start w:val="1"/>
      <w:numFmt w:val="taiwaneseCountingThousand"/>
      <w:lvlText w:val="%1、"/>
      <w:lvlJc w:val="left"/>
      <w:pPr>
        <w:ind w:left="360" w:hanging="360"/>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4A217CA"/>
    <w:multiLevelType w:val="hybridMultilevel"/>
    <w:tmpl w:val="95B0E5B4"/>
    <w:lvl w:ilvl="0" w:tplc="CBFC39D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56A70FE8"/>
    <w:multiLevelType w:val="hybridMultilevel"/>
    <w:tmpl w:val="E4B80030"/>
    <w:lvl w:ilvl="0" w:tplc="CF0EECC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59527939"/>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598912BB"/>
    <w:multiLevelType w:val="hybridMultilevel"/>
    <w:tmpl w:val="8534A63E"/>
    <w:lvl w:ilvl="0" w:tplc="075A409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5EDA1F58"/>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630E6C96"/>
    <w:multiLevelType w:val="hybridMultilevel"/>
    <w:tmpl w:val="296690FE"/>
    <w:lvl w:ilvl="0" w:tplc="BE626026">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633C3708"/>
    <w:multiLevelType w:val="hybridMultilevel"/>
    <w:tmpl w:val="2868715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65AA7254"/>
    <w:multiLevelType w:val="hybridMultilevel"/>
    <w:tmpl w:val="D182F452"/>
    <w:lvl w:ilvl="0" w:tplc="78DAC98C">
      <w:start w:val="1"/>
      <w:numFmt w:val="decimal"/>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74A4C34"/>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98B39C5"/>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6B5A2BEE"/>
    <w:multiLevelType w:val="hybridMultilevel"/>
    <w:tmpl w:val="8BB2A2EE"/>
    <w:lvl w:ilvl="0" w:tplc="EE76ACA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6C7929A3"/>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73FB226A"/>
    <w:multiLevelType w:val="hybridMultilevel"/>
    <w:tmpl w:val="6D76E0C2"/>
    <w:lvl w:ilvl="0" w:tplc="4B78BBA6">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7E6B1C80"/>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1"/>
  </w:num>
  <w:num w:numId="2">
    <w:abstractNumId w:val="16"/>
  </w:num>
  <w:num w:numId="3">
    <w:abstractNumId w:val="28"/>
  </w:num>
  <w:num w:numId="4">
    <w:abstractNumId w:val="14"/>
  </w:num>
  <w:num w:numId="5">
    <w:abstractNumId w:val="8"/>
  </w:num>
  <w:num w:numId="6">
    <w:abstractNumId w:val="27"/>
  </w:num>
  <w:num w:numId="7">
    <w:abstractNumId w:val="34"/>
  </w:num>
  <w:num w:numId="8">
    <w:abstractNumId w:val="20"/>
  </w:num>
  <w:num w:numId="9">
    <w:abstractNumId w:val="37"/>
  </w:num>
  <w:num w:numId="10">
    <w:abstractNumId w:val="10"/>
  </w:num>
  <w:num w:numId="11">
    <w:abstractNumId w:val="5"/>
  </w:num>
  <w:num w:numId="12">
    <w:abstractNumId w:val="30"/>
  </w:num>
  <w:num w:numId="13">
    <w:abstractNumId w:val="35"/>
  </w:num>
  <w:num w:numId="14">
    <w:abstractNumId w:val="3"/>
  </w:num>
  <w:num w:numId="15">
    <w:abstractNumId w:val="18"/>
  </w:num>
  <w:num w:numId="16">
    <w:abstractNumId w:val="36"/>
  </w:num>
  <w:num w:numId="17">
    <w:abstractNumId w:val="29"/>
  </w:num>
  <w:num w:numId="18">
    <w:abstractNumId w:val="32"/>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12"/>
  </w:num>
  <w:num w:numId="23">
    <w:abstractNumId w:val="9"/>
  </w:num>
  <w:num w:numId="24">
    <w:abstractNumId w:val="23"/>
  </w:num>
  <w:num w:numId="25">
    <w:abstractNumId w:val="4"/>
  </w:num>
  <w:num w:numId="26">
    <w:abstractNumId w:val="22"/>
  </w:num>
  <w:num w:numId="27">
    <w:abstractNumId w:val="17"/>
  </w:num>
  <w:num w:numId="28">
    <w:abstractNumId w:val="19"/>
  </w:num>
  <w:num w:numId="29">
    <w:abstractNumId w:val="0"/>
  </w:num>
  <w:num w:numId="30">
    <w:abstractNumId w:val="7"/>
  </w:num>
  <w:num w:numId="31">
    <w:abstractNumId w:val="11"/>
  </w:num>
  <w:num w:numId="32">
    <w:abstractNumId w:val="2"/>
  </w:num>
  <w:num w:numId="33">
    <w:abstractNumId w:val="13"/>
  </w:num>
  <w:num w:numId="34">
    <w:abstractNumId w:val="24"/>
  </w:num>
  <w:num w:numId="35">
    <w:abstractNumId w:val="15"/>
  </w:num>
  <w:num w:numId="36">
    <w:abstractNumId w:val="25"/>
  </w:num>
  <w:num w:numId="37">
    <w:abstractNumId w:val="21"/>
  </w:num>
  <w:num w:numId="38">
    <w:abstractNumId w:val="1"/>
  </w:num>
  <w:num w:numId="39">
    <w:abstractNumId w:val="2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55"/>
    <w:rsid w:val="000053AD"/>
    <w:rsid w:val="000054F3"/>
    <w:rsid w:val="00006D85"/>
    <w:rsid w:val="0000740A"/>
    <w:rsid w:val="00007B61"/>
    <w:rsid w:val="00007D28"/>
    <w:rsid w:val="000109BA"/>
    <w:rsid w:val="00010D58"/>
    <w:rsid w:val="0001142C"/>
    <w:rsid w:val="0001163E"/>
    <w:rsid w:val="00011F99"/>
    <w:rsid w:val="00013A0E"/>
    <w:rsid w:val="00013B25"/>
    <w:rsid w:val="00014987"/>
    <w:rsid w:val="000166CA"/>
    <w:rsid w:val="00016BAA"/>
    <w:rsid w:val="000213A6"/>
    <w:rsid w:val="000214CC"/>
    <w:rsid w:val="0002185F"/>
    <w:rsid w:val="00022A64"/>
    <w:rsid w:val="00024692"/>
    <w:rsid w:val="000248FE"/>
    <w:rsid w:val="00024F2F"/>
    <w:rsid w:val="0002608F"/>
    <w:rsid w:val="000303A6"/>
    <w:rsid w:val="00030C63"/>
    <w:rsid w:val="00032300"/>
    <w:rsid w:val="00032909"/>
    <w:rsid w:val="000333ED"/>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147"/>
    <w:rsid w:val="00062852"/>
    <w:rsid w:val="00062E2E"/>
    <w:rsid w:val="00063034"/>
    <w:rsid w:val="00063306"/>
    <w:rsid w:val="000645A2"/>
    <w:rsid w:val="0006524F"/>
    <w:rsid w:val="0006550C"/>
    <w:rsid w:val="00066383"/>
    <w:rsid w:val="00066E3F"/>
    <w:rsid w:val="0006739E"/>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94DDD"/>
    <w:rsid w:val="00096FEE"/>
    <w:rsid w:val="000A0DB4"/>
    <w:rsid w:val="000A1B4D"/>
    <w:rsid w:val="000A203E"/>
    <w:rsid w:val="000A281C"/>
    <w:rsid w:val="000A34D0"/>
    <w:rsid w:val="000A4A2E"/>
    <w:rsid w:val="000A5642"/>
    <w:rsid w:val="000A57F5"/>
    <w:rsid w:val="000A5AF5"/>
    <w:rsid w:val="000A6446"/>
    <w:rsid w:val="000A6BE4"/>
    <w:rsid w:val="000B0ED9"/>
    <w:rsid w:val="000B23CF"/>
    <w:rsid w:val="000B26D0"/>
    <w:rsid w:val="000B3271"/>
    <w:rsid w:val="000B3415"/>
    <w:rsid w:val="000B6617"/>
    <w:rsid w:val="000B68F9"/>
    <w:rsid w:val="000B6E22"/>
    <w:rsid w:val="000B6FEA"/>
    <w:rsid w:val="000B76E2"/>
    <w:rsid w:val="000B788B"/>
    <w:rsid w:val="000C0EDD"/>
    <w:rsid w:val="000C1350"/>
    <w:rsid w:val="000C4539"/>
    <w:rsid w:val="000C454B"/>
    <w:rsid w:val="000C47E8"/>
    <w:rsid w:val="000C4FCA"/>
    <w:rsid w:val="000C69D4"/>
    <w:rsid w:val="000C7194"/>
    <w:rsid w:val="000C738F"/>
    <w:rsid w:val="000D03F8"/>
    <w:rsid w:val="000D0A7F"/>
    <w:rsid w:val="000D0B8C"/>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2C2A"/>
    <w:rsid w:val="000F4587"/>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CE9"/>
    <w:rsid w:val="00121E02"/>
    <w:rsid w:val="00122F91"/>
    <w:rsid w:val="00123658"/>
    <w:rsid w:val="001255FD"/>
    <w:rsid w:val="00125610"/>
    <w:rsid w:val="00125E42"/>
    <w:rsid w:val="001261E3"/>
    <w:rsid w:val="00126497"/>
    <w:rsid w:val="00126644"/>
    <w:rsid w:val="00126CB6"/>
    <w:rsid w:val="00126D1C"/>
    <w:rsid w:val="001308D3"/>
    <w:rsid w:val="001310A8"/>
    <w:rsid w:val="0013145A"/>
    <w:rsid w:val="00131583"/>
    <w:rsid w:val="00133A18"/>
    <w:rsid w:val="00134819"/>
    <w:rsid w:val="00134F0F"/>
    <w:rsid w:val="00134FCB"/>
    <w:rsid w:val="00135CB5"/>
    <w:rsid w:val="0013692B"/>
    <w:rsid w:val="0013693B"/>
    <w:rsid w:val="00137106"/>
    <w:rsid w:val="001372F1"/>
    <w:rsid w:val="00140DD9"/>
    <w:rsid w:val="00142A5E"/>
    <w:rsid w:val="001443F3"/>
    <w:rsid w:val="00144B45"/>
    <w:rsid w:val="00144B77"/>
    <w:rsid w:val="00145459"/>
    <w:rsid w:val="001469C4"/>
    <w:rsid w:val="00146C57"/>
    <w:rsid w:val="001471FD"/>
    <w:rsid w:val="00147A38"/>
    <w:rsid w:val="001500B8"/>
    <w:rsid w:val="0015013B"/>
    <w:rsid w:val="00150FF0"/>
    <w:rsid w:val="001538D4"/>
    <w:rsid w:val="00153C20"/>
    <w:rsid w:val="00153F18"/>
    <w:rsid w:val="001549EE"/>
    <w:rsid w:val="00154F5A"/>
    <w:rsid w:val="001558A3"/>
    <w:rsid w:val="00155AE8"/>
    <w:rsid w:val="0015649C"/>
    <w:rsid w:val="0015685D"/>
    <w:rsid w:val="00161ADB"/>
    <w:rsid w:val="00162692"/>
    <w:rsid w:val="0016330C"/>
    <w:rsid w:val="001635B5"/>
    <w:rsid w:val="00163FDF"/>
    <w:rsid w:val="001640A1"/>
    <w:rsid w:val="001656B4"/>
    <w:rsid w:val="00165DA0"/>
    <w:rsid w:val="00171279"/>
    <w:rsid w:val="00171548"/>
    <w:rsid w:val="00171FD4"/>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3C89"/>
    <w:rsid w:val="0018412D"/>
    <w:rsid w:val="00184D5D"/>
    <w:rsid w:val="001860DA"/>
    <w:rsid w:val="00186467"/>
    <w:rsid w:val="00186620"/>
    <w:rsid w:val="00186777"/>
    <w:rsid w:val="00186B5D"/>
    <w:rsid w:val="00187247"/>
    <w:rsid w:val="0019020C"/>
    <w:rsid w:val="00190A39"/>
    <w:rsid w:val="00192427"/>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0168"/>
    <w:rsid w:val="001B1A83"/>
    <w:rsid w:val="001B1C8F"/>
    <w:rsid w:val="001B3915"/>
    <w:rsid w:val="001B4289"/>
    <w:rsid w:val="001B5256"/>
    <w:rsid w:val="001B6588"/>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91A"/>
    <w:rsid w:val="001E4AB2"/>
    <w:rsid w:val="001E554B"/>
    <w:rsid w:val="001E5BA6"/>
    <w:rsid w:val="001E5DC6"/>
    <w:rsid w:val="001E6298"/>
    <w:rsid w:val="001E6B5E"/>
    <w:rsid w:val="001E6DF2"/>
    <w:rsid w:val="001F18F1"/>
    <w:rsid w:val="001F29B1"/>
    <w:rsid w:val="001F2AE4"/>
    <w:rsid w:val="001F35F1"/>
    <w:rsid w:val="001F3D9A"/>
    <w:rsid w:val="001F3DA7"/>
    <w:rsid w:val="001F40E8"/>
    <w:rsid w:val="001F6473"/>
    <w:rsid w:val="001F6570"/>
    <w:rsid w:val="001F7100"/>
    <w:rsid w:val="001F73CD"/>
    <w:rsid w:val="001F7B27"/>
    <w:rsid w:val="00200553"/>
    <w:rsid w:val="002023CB"/>
    <w:rsid w:val="00202E32"/>
    <w:rsid w:val="00203076"/>
    <w:rsid w:val="002038CD"/>
    <w:rsid w:val="00203AEA"/>
    <w:rsid w:val="00203F42"/>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6D9"/>
    <w:rsid w:val="00232DF7"/>
    <w:rsid w:val="00232E24"/>
    <w:rsid w:val="00232E78"/>
    <w:rsid w:val="00232F34"/>
    <w:rsid w:val="00232F68"/>
    <w:rsid w:val="00233432"/>
    <w:rsid w:val="00234C7B"/>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1F5D"/>
    <w:rsid w:val="00262C68"/>
    <w:rsid w:val="00263D51"/>
    <w:rsid w:val="00263EAA"/>
    <w:rsid w:val="00263F56"/>
    <w:rsid w:val="00264021"/>
    <w:rsid w:val="00264668"/>
    <w:rsid w:val="00264CAD"/>
    <w:rsid w:val="00264DA0"/>
    <w:rsid w:val="002653BC"/>
    <w:rsid w:val="002655AC"/>
    <w:rsid w:val="00266AAD"/>
    <w:rsid w:val="00267B58"/>
    <w:rsid w:val="00270B25"/>
    <w:rsid w:val="002725AD"/>
    <w:rsid w:val="002725CE"/>
    <w:rsid w:val="00272ACC"/>
    <w:rsid w:val="0027590D"/>
    <w:rsid w:val="0027592A"/>
    <w:rsid w:val="00276122"/>
    <w:rsid w:val="00276CE3"/>
    <w:rsid w:val="00277A2C"/>
    <w:rsid w:val="00282B2D"/>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2A9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6D8C"/>
    <w:rsid w:val="002D7EAC"/>
    <w:rsid w:val="002E07A9"/>
    <w:rsid w:val="002E27C8"/>
    <w:rsid w:val="002E27E5"/>
    <w:rsid w:val="002E2F30"/>
    <w:rsid w:val="002E4EF4"/>
    <w:rsid w:val="002E5863"/>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3B8E"/>
    <w:rsid w:val="00304058"/>
    <w:rsid w:val="003053E8"/>
    <w:rsid w:val="00305555"/>
    <w:rsid w:val="00305CBF"/>
    <w:rsid w:val="00305D81"/>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467E"/>
    <w:rsid w:val="00316833"/>
    <w:rsid w:val="00317090"/>
    <w:rsid w:val="003170A9"/>
    <w:rsid w:val="00317720"/>
    <w:rsid w:val="00320025"/>
    <w:rsid w:val="00320887"/>
    <w:rsid w:val="003221D8"/>
    <w:rsid w:val="00322671"/>
    <w:rsid w:val="003226CD"/>
    <w:rsid w:val="003231DC"/>
    <w:rsid w:val="0032381C"/>
    <w:rsid w:val="00323B8D"/>
    <w:rsid w:val="00323BA5"/>
    <w:rsid w:val="003252B6"/>
    <w:rsid w:val="00325C42"/>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5D4"/>
    <w:rsid w:val="00345D79"/>
    <w:rsid w:val="00345F89"/>
    <w:rsid w:val="00346C5F"/>
    <w:rsid w:val="00347124"/>
    <w:rsid w:val="00347E43"/>
    <w:rsid w:val="00347F3C"/>
    <w:rsid w:val="0035074A"/>
    <w:rsid w:val="00351C2C"/>
    <w:rsid w:val="00351FD0"/>
    <w:rsid w:val="003520E5"/>
    <w:rsid w:val="00352428"/>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165"/>
    <w:rsid w:val="00381D57"/>
    <w:rsid w:val="00382408"/>
    <w:rsid w:val="0038444F"/>
    <w:rsid w:val="003864FE"/>
    <w:rsid w:val="0039027F"/>
    <w:rsid w:val="003905F9"/>
    <w:rsid w:val="003924FD"/>
    <w:rsid w:val="00392692"/>
    <w:rsid w:val="0039324D"/>
    <w:rsid w:val="00393B85"/>
    <w:rsid w:val="0039461A"/>
    <w:rsid w:val="00395D05"/>
    <w:rsid w:val="00396968"/>
    <w:rsid w:val="00396C30"/>
    <w:rsid w:val="00396D91"/>
    <w:rsid w:val="003975D7"/>
    <w:rsid w:val="0039794B"/>
    <w:rsid w:val="00397EB1"/>
    <w:rsid w:val="003A091E"/>
    <w:rsid w:val="003A09F1"/>
    <w:rsid w:val="003A0DBA"/>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5923"/>
    <w:rsid w:val="003C6A1A"/>
    <w:rsid w:val="003C6D2C"/>
    <w:rsid w:val="003D014C"/>
    <w:rsid w:val="003D0A48"/>
    <w:rsid w:val="003D1672"/>
    <w:rsid w:val="003D2911"/>
    <w:rsid w:val="003D31A1"/>
    <w:rsid w:val="003D33AF"/>
    <w:rsid w:val="003D579D"/>
    <w:rsid w:val="003D5822"/>
    <w:rsid w:val="003D6110"/>
    <w:rsid w:val="003E1F2A"/>
    <w:rsid w:val="003E1F5A"/>
    <w:rsid w:val="003E2386"/>
    <w:rsid w:val="003E3B97"/>
    <w:rsid w:val="003E3DB0"/>
    <w:rsid w:val="003E4C9C"/>
    <w:rsid w:val="003E5A77"/>
    <w:rsid w:val="003E6100"/>
    <w:rsid w:val="003E617A"/>
    <w:rsid w:val="003E745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A00"/>
    <w:rsid w:val="00404F9B"/>
    <w:rsid w:val="00405D2A"/>
    <w:rsid w:val="00405F11"/>
    <w:rsid w:val="00406C1F"/>
    <w:rsid w:val="00410386"/>
    <w:rsid w:val="00410732"/>
    <w:rsid w:val="00411482"/>
    <w:rsid w:val="00413711"/>
    <w:rsid w:val="00413961"/>
    <w:rsid w:val="00413E0D"/>
    <w:rsid w:val="00414CE0"/>
    <w:rsid w:val="00415493"/>
    <w:rsid w:val="00415BFD"/>
    <w:rsid w:val="00415EBD"/>
    <w:rsid w:val="00416685"/>
    <w:rsid w:val="0041785B"/>
    <w:rsid w:val="00417A07"/>
    <w:rsid w:val="004209AE"/>
    <w:rsid w:val="004218E0"/>
    <w:rsid w:val="004221F9"/>
    <w:rsid w:val="00423F32"/>
    <w:rsid w:val="00424148"/>
    <w:rsid w:val="00424AC0"/>
    <w:rsid w:val="00424B3B"/>
    <w:rsid w:val="00424B4A"/>
    <w:rsid w:val="004260AE"/>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372C8"/>
    <w:rsid w:val="00440140"/>
    <w:rsid w:val="00440CC0"/>
    <w:rsid w:val="0044169F"/>
    <w:rsid w:val="0044182E"/>
    <w:rsid w:val="00441BD5"/>
    <w:rsid w:val="004448DA"/>
    <w:rsid w:val="004448EA"/>
    <w:rsid w:val="00446ADA"/>
    <w:rsid w:val="00446E79"/>
    <w:rsid w:val="004477DF"/>
    <w:rsid w:val="004478DC"/>
    <w:rsid w:val="00447A73"/>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8B2"/>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61D0"/>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81F"/>
    <w:rsid w:val="004C4A03"/>
    <w:rsid w:val="004C523C"/>
    <w:rsid w:val="004C5B68"/>
    <w:rsid w:val="004C5C7A"/>
    <w:rsid w:val="004C6611"/>
    <w:rsid w:val="004C69CD"/>
    <w:rsid w:val="004C6AE9"/>
    <w:rsid w:val="004C7E84"/>
    <w:rsid w:val="004D11CA"/>
    <w:rsid w:val="004D234B"/>
    <w:rsid w:val="004D24BE"/>
    <w:rsid w:val="004D2A00"/>
    <w:rsid w:val="004D35D0"/>
    <w:rsid w:val="004D3985"/>
    <w:rsid w:val="004D3A35"/>
    <w:rsid w:val="004D3ADF"/>
    <w:rsid w:val="004D4161"/>
    <w:rsid w:val="004D4EC3"/>
    <w:rsid w:val="004D62BB"/>
    <w:rsid w:val="004E1D56"/>
    <w:rsid w:val="004E2BA3"/>
    <w:rsid w:val="004E3840"/>
    <w:rsid w:val="004E4C66"/>
    <w:rsid w:val="004E6148"/>
    <w:rsid w:val="004E6BFA"/>
    <w:rsid w:val="004E7FA8"/>
    <w:rsid w:val="004F05F5"/>
    <w:rsid w:val="004F134A"/>
    <w:rsid w:val="004F2918"/>
    <w:rsid w:val="004F2A99"/>
    <w:rsid w:val="004F37B9"/>
    <w:rsid w:val="004F5AF4"/>
    <w:rsid w:val="004F6521"/>
    <w:rsid w:val="004F74BF"/>
    <w:rsid w:val="004F773A"/>
    <w:rsid w:val="005001BB"/>
    <w:rsid w:val="00501354"/>
    <w:rsid w:val="005014DD"/>
    <w:rsid w:val="005015D5"/>
    <w:rsid w:val="00501609"/>
    <w:rsid w:val="00502611"/>
    <w:rsid w:val="0050445C"/>
    <w:rsid w:val="00507262"/>
    <w:rsid w:val="005072F1"/>
    <w:rsid w:val="00507850"/>
    <w:rsid w:val="00507BB6"/>
    <w:rsid w:val="00507C9F"/>
    <w:rsid w:val="00510229"/>
    <w:rsid w:val="0051023D"/>
    <w:rsid w:val="00511202"/>
    <w:rsid w:val="00513579"/>
    <w:rsid w:val="0051462E"/>
    <w:rsid w:val="00514B83"/>
    <w:rsid w:val="00515079"/>
    <w:rsid w:val="0051528C"/>
    <w:rsid w:val="005155AC"/>
    <w:rsid w:val="00515CE8"/>
    <w:rsid w:val="00515ED5"/>
    <w:rsid w:val="00515EE9"/>
    <w:rsid w:val="00516099"/>
    <w:rsid w:val="00517B09"/>
    <w:rsid w:val="00521ABC"/>
    <w:rsid w:val="005223DA"/>
    <w:rsid w:val="005229A7"/>
    <w:rsid w:val="005231EA"/>
    <w:rsid w:val="005240FC"/>
    <w:rsid w:val="005248BB"/>
    <w:rsid w:val="00524DCB"/>
    <w:rsid w:val="0052542B"/>
    <w:rsid w:val="00525F6D"/>
    <w:rsid w:val="0052678B"/>
    <w:rsid w:val="005301AD"/>
    <w:rsid w:val="00531292"/>
    <w:rsid w:val="00531588"/>
    <w:rsid w:val="00531D29"/>
    <w:rsid w:val="00532409"/>
    <w:rsid w:val="00532893"/>
    <w:rsid w:val="005332A8"/>
    <w:rsid w:val="00534DD6"/>
    <w:rsid w:val="005355CB"/>
    <w:rsid w:val="00536105"/>
    <w:rsid w:val="0053622E"/>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498C"/>
    <w:rsid w:val="00555E9D"/>
    <w:rsid w:val="00555ED4"/>
    <w:rsid w:val="00556CEA"/>
    <w:rsid w:val="00557215"/>
    <w:rsid w:val="0055731F"/>
    <w:rsid w:val="005600AF"/>
    <w:rsid w:val="00560307"/>
    <w:rsid w:val="00560465"/>
    <w:rsid w:val="0056108A"/>
    <w:rsid w:val="00561DD1"/>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2243"/>
    <w:rsid w:val="00583488"/>
    <w:rsid w:val="00583871"/>
    <w:rsid w:val="00583963"/>
    <w:rsid w:val="005840FE"/>
    <w:rsid w:val="005842EA"/>
    <w:rsid w:val="005858F7"/>
    <w:rsid w:val="00585B15"/>
    <w:rsid w:val="00586E74"/>
    <w:rsid w:val="00587788"/>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43"/>
    <w:rsid w:val="005C26E6"/>
    <w:rsid w:val="005C3985"/>
    <w:rsid w:val="005C5A4F"/>
    <w:rsid w:val="005C5A7A"/>
    <w:rsid w:val="005C5AAD"/>
    <w:rsid w:val="005C5D85"/>
    <w:rsid w:val="005D0896"/>
    <w:rsid w:val="005D1C0F"/>
    <w:rsid w:val="005D25DE"/>
    <w:rsid w:val="005D266A"/>
    <w:rsid w:val="005D4074"/>
    <w:rsid w:val="005D4445"/>
    <w:rsid w:val="005D44BB"/>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5196"/>
    <w:rsid w:val="005F7131"/>
    <w:rsid w:val="005F71DC"/>
    <w:rsid w:val="005F7ADF"/>
    <w:rsid w:val="006002F0"/>
    <w:rsid w:val="0060043B"/>
    <w:rsid w:val="0060073D"/>
    <w:rsid w:val="00601CBC"/>
    <w:rsid w:val="00602B61"/>
    <w:rsid w:val="00602BD6"/>
    <w:rsid w:val="006032DF"/>
    <w:rsid w:val="00604F87"/>
    <w:rsid w:val="00605819"/>
    <w:rsid w:val="006065C6"/>
    <w:rsid w:val="0060680D"/>
    <w:rsid w:val="00607487"/>
    <w:rsid w:val="00607A5D"/>
    <w:rsid w:val="00612FC4"/>
    <w:rsid w:val="00614368"/>
    <w:rsid w:val="0061504A"/>
    <w:rsid w:val="00615EBF"/>
    <w:rsid w:val="00616FBE"/>
    <w:rsid w:val="00617E8E"/>
    <w:rsid w:val="006203E4"/>
    <w:rsid w:val="00621655"/>
    <w:rsid w:val="006218A9"/>
    <w:rsid w:val="006218B7"/>
    <w:rsid w:val="006218CE"/>
    <w:rsid w:val="00621DF5"/>
    <w:rsid w:val="006234A5"/>
    <w:rsid w:val="00623B80"/>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B4D"/>
    <w:rsid w:val="00646D91"/>
    <w:rsid w:val="006473D0"/>
    <w:rsid w:val="0064785D"/>
    <w:rsid w:val="00651BD3"/>
    <w:rsid w:val="00651BDC"/>
    <w:rsid w:val="00653A81"/>
    <w:rsid w:val="00656725"/>
    <w:rsid w:val="00656DFA"/>
    <w:rsid w:val="00657C3C"/>
    <w:rsid w:val="0066023A"/>
    <w:rsid w:val="00660F4E"/>
    <w:rsid w:val="00660FDA"/>
    <w:rsid w:val="006621AA"/>
    <w:rsid w:val="006627CB"/>
    <w:rsid w:val="006631C6"/>
    <w:rsid w:val="0066322C"/>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2E89"/>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4E9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75F"/>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66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3ADF"/>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5B6"/>
    <w:rsid w:val="00736815"/>
    <w:rsid w:val="0073779B"/>
    <w:rsid w:val="00740D69"/>
    <w:rsid w:val="0074103E"/>
    <w:rsid w:val="007422A2"/>
    <w:rsid w:val="0074422C"/>
    <w:rsid w:val="00744FF5"/>
    <w:rsid w:val="00745CA5"/>
    <w:rsid w:val="00746BB5"/>
    <w:rsid w:val="007478C5"/>
    <w:rsid w:val="00750ADB"/>
    <w:rsid w:val="0075201E"/>
    <w:rsid w:val="007522A9"/>
    <w:rsid w:val="0075450C"/>
    <w:rsid w:val="00754B59"/>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7733D"/>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7B4"/>
    <w:rsid w:val="007A5AA5"/>
    <w:rsid w:val="007A5D65"/>
    <w:rsid w:val="007A6B38"/>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268D"/>
    <w:rsid w:val="007C3278"/>
    <w:rsid w:val="007C4720"/>
    <w:rsid w:val="007C4D28"/>
    <w:rsid w:val="007C52A4"/>
    <w:rsid w:val="007C559B"/>
    <w:rsid w:val="007C7FC9"/>
    <w:rsid w:val="007D1010"/>
    <w:rsid w:val="007D1B8F"/>
    <w:rsid w:val="007D1E44"/>
    <w:rsid w:val="007D2087"/>
    <w:rsid w:val="007D330D"/>
    <w:rsid w:val="007D3803"/>
    <w:rsid w:val="007D4C94"/>
    <w:rsid w:val="007D6DD7"/>
    <w:rsid w:val="007D6E05"/>
    <w:rsid w:val="007D70A2"/>
    <w:rsid w:val="007D7480"/>
    <w:rsid w:val="007D7CC1"/>
    <w:rsid w:val="007E15E3"/>
    <w:rsid w:val="007E1953"/>
    <w:rsid w:val="007E275E"/>
    <w:rsid w:val="007E32B3"/>
    <w:rsid w:val="007E3382"/>
    <w:rsid w:val="007E4659"/>
    <w:rsid w:val="007E49EB"/>
    <w:rsid w:val="007E6245"/>
    <w:rsid w:val="007E64C7"/>
    <w:rsid w:val="007F417D"/>
    <w:rsid w:val="007F5872"/>
    <w:rsid w:val="007F72CC"/>
    <w:rsid w:val="007F7500"/>
    <w:rsid w:val="007F772A"/>
    <w:rsid w:val="008016A6"/>
    <w:rsid w:val="0080400F"/>
    <w:rsid w:val="00804417"/>
    <w:rsid w:val="00804F45"/>
    <w:rsid w:val="00805CDA"/>
    <w:rsid w:val="00805D11"/>
    <w:rsid w:val="00805ED1"/>
    <w:rsid w:val="00806F3A"/>
    <w:rsid w:val="00807994"/>
    <w:rsid w:val="0081009A"/>
    <w:rsid w:val="0081052A"/>
    <w:rsid w:val="00810C92"/>
    <w:rsid w:val="00811659"/>
    <w:rsid w:val="00811DB9"/>
    <w:rsid w:val="008123A6"/>
    <w:rsid w:val="00812BB8"/>
    <w:rsid w:val="00813A2B"/>
    <w:rsid w:val="008148D8"/>
    <w:rsid w:val="00814A3A"/>
    <w:rsid w:val="00815494"/>
    <w:rsid w:val="0081581B"/>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2F12"/>
    <w:rsid w:val="008334A4"/>
    <w:rsid w:val="00835147"/>
    <w:rsid w:val="008362FE"/>
    <w:rsid w:val="008366B9"/>
    <w:rsid w:val="0083743F"/>
    <w:rsid w:val="00840C58"/>
    <w:rsid w:val="0084139C"/>
    <w:rsid w:val="00841723"/>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57BAE"/>
    <w:rsid w:val="00860776"/>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5F86"/>
    <w:rsid w:val="00876DE1"/>
    <w:rsid w:val="00877301"/>
    <w:rsid w:val="008775B1"/>
    <w:rsid w:val="00880B2C"/>
    <w:rsid w:val="00881EBB"/>
    <w:rsid w:val="008831B0"/>
    <w:rsid w:val="008840D0"/>
    <w:rsid w:val="00884130"/>
    <w:rsid w:val="008846A2"/>
    <w:rsid w:val="00884BF8"/>
    <w:rsid w:val="00884CEB"/>
    <w:rsid w:val="00885B02"/>
    <w:rsid w:val="00885E4A"/>
    <w:rsid w:val="0088681E"/>
    <w:rsid w:val="008879C3"/>
    <w:rsid w:val="008879FB"/>
    <w:rsid w:val="00887A28"/>
    <w:rsid w:val="00887CDF"/>
    <w:rsid w:val="00887DEC"/>
    <w:rsid w:val="008900EC"/>
    <w:rsid w:val="008911DD"/>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3B2"/>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27B"/>
    <w:rsid w:val="008C0D7E"/>
    <w:rsid w:val="008C1751"/>
    <w:rsid w:val="008C1DDE"/>
    <w:rsid w:val="008C40E6"/>
    <w:rsid w:val="008C5058"/>
    <w:rsid w:val="008C518E"/>
    <w:rsid w:val="008C549B"/>
    <w:rsid w:val="008C57B5"/>
    <w:rsid w:val="008C5A5A"/>
    <w:rsid w:val="008C68E3"/>
    <w:rsid w:val="008C6C92"/>
    <w:rsid w:val="008D0286"/>
    <w:rsid w:val="008D1FD7"/>
    <w:rsid w:val="008D2866"/>
    <w:rsid w:val="008D2885"/>
    <w:rsid w:val="008D2B92"/>
    <w:rsid w:val="008D2BAE"/>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788"/>
    <w:rsid w:val="008F2976"/>
    <w:rsid w:val="008F2BB2"/>
    <w:rsid w:val="008F32E3"/>
    <w:rsid w:val="008F481C"/>
    <w:rsid w:val="008F4B0E"/>
    <w:rsid w:val="008F4C63"/>
    <w:rsid w:val="008F5035"/>
    <w:rsid w:val="008F636F"/>
    <w:rsid w:val="008F64B1"/>
    <w:rsid w:val="008F7A6C"/>
    <w:rsid w:val="009029F7"/>
    <w:rsid w:val="0090301E"/>
    <w:rsid w:val="00905104"/>
    <w:rsid w:val="00905BCB"/>
    <w:rsid w:val="00905C15"/>
    <w:rsid w:val="00907840"/>
    <w:rsid w:val="00910192"/>
    <w:rsid w:val="009102FB"/>
    <w:rsid w:val="0091405E"/>
    <w:rsid w:val="00915DE8"/>
    <w:rsid w:val="00916CF7"/>
    <w:rsid w:val="00917692"/>
    <w:rsid w:val="00917814"/>
    <w:rsid w:val="00917886"/>
    <w:rsid w:val="009178D4"/>
    <w:rsid w:val="009206FD"/>
    <w:rsid w:val="009217C4"/>
    <w:rsid w:val="00921BBD"/>
    <w:rsid w:val="0092296D"/>
    <w:rsid w:val="00923AD7"/>
    <w:rsid w:val="00924CB4"/>
    <w:rsid w:val="00925356"/>
    <w:rsid w:val="00925868"/>
    <w:rsid w:val="00926BCE"/>
    <w:rsid w:val="00926E07"/>
    <w:rsid w:val="0092713E"/>
    <w:rsid w:val="00931A46"/>
    <w:rsid w:val="00931DFF"/>
    <w:rsid w:val="0093260D"/>
    <w:rsid w:val="00932895"/>
    <w:rsid w:val="00932997"/>
    <w:rsid w:val="00933D9E"/>
    <w:rsid w:val="009341ED"/>
    <w:rsid w:val="009343FB"/>
    <w:rsid w:val="00935BD2"/>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7EE"/>
    <w:rsid w:val="00960D42"/>
    <w:rsid w:val="00961C65"/>
    <w:rsid w:val="00962EB4"/>
    <w:rsid w:val="00963CF2"/>
    <w:rsid w:val="00963EA1"/>
    <w:rsid w:val="00964967"/>
    <w:rsid w:val="00966724"/>
    <w:rsid w:val="00971520"/>
    <w:rsid w:val="00972C65"/>
    <w:rsid w:val="009731AC"/>
    <w:rsid w:val="0097450A"/>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269"/>
    <w:rsid w:val="00990669"/>
    <w:rsid w:val="009908CB"/>
    <w:rsid w:val="00990D02"/>
    <w:rsid w:val="00990EDB"/>
    <w:rsid w:val="009919BD"/>
    <w:rsid w:val="009923D2"/>
    <w:rsid w:val="00992C5C"/>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910"/>
    <w:rsid w:val="009A5ACF"/>
    <w:rsid w:val="009A6767"/>
    <w:rsid w:val="009A6A94"/>
    <w:rsid w:val="009A6B20"/>
    <w:rsid w:val="009A6C5E"/>
    <w:rsid w:val="009B1507"/>
    <w:rsid w:val="009B1C48"/>
    <w:rsid w:val="009B3FCE"/>
    <w:rsid w:val="009B49C2"/>
    <w:rsid w:val="009B51E5"/>
    <w:rsid w:val="009B64EA"/>
    <w:rsid w:val="009B7868"/>
    <w:rsid w:val="009C24E9"/>
    <w:rsid w:val="009C2CCF"/>
    <w:rsid w:val="009C3EED"/>
    <w:rsid w:val="009C49C9"/>
    <w:rsid w:val="009C50A7"/>
    <w:rsid w:val="009C58D6"/>
    <w:rsid w:val="009C5CF9"/>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23D0"/>
    <w:rsid w:val="00A04849"/>
    <w:rsid w:val="00A04F00"/>
    <w:rsid w:val="00A0586A"/>
    <w:rsid w:val="00A05F58"/>
    <w:rsid w:val="00A06315"/>
    <w:rsid w:val="00A06EE9"/>
    <w:rsid w:val="00A075A0"/>
    <w:rsid w:val="00A112AB"/>
    <w:rsid w:val="00A113DF"/>
    <w:rsid w:val="00A13F2B"/>
    <w:rsid w:val="00A145DC"/>
    <w:rsid w:val="00A1556C"/>
    <w:rsid w:val="00A164BB"/>
    <w:rsid w:val="00A169CC"/>
    <w:rsid w:val="00A16D2B"/>
    <w:rsid w:val="00A172F0"/>
    <w:rsid w:val="00A1757D"/>
    <w:rsid w:val="00A17960"/>
    <w:rsid w:val="00A206E3"/>
    <w:rsid w:val="00A21C38"/>
    <w:rsid w:val="00A22940"/>
    <w:rsid w:val="00A23A44"/>
    <w:rsid w:val="00A25FB4"/>
    <w:rsid w:val="00A26DBE"/>
    <w:rsid w:val="00A27B74"/>
    <w:rsid w:val="00A30273"/>
    <w:rsid w:val="00A30FDB"/>
    <w:rsid w:val="00A31BFD"/>
    <w:rsid w:val="00A31C7A"/>
    <w:rsid w:val="00A33171"/>
    <w:rsid w:val="00A36706"/>
    <w:rsid w:val="00A36A59"/>
    <w:rsid w:val="00A37E45"/>
    <w:rsid w:val="00A40797"/>
    <w:rsid w:val="00A408FD"/>
    <w:rsid w:val="00A41A01"/>
    <w:rsid w:val="00A42C95"/>
    <w:rsid w:val="00A42E15"/>
    <w:rsid w:val="00A4309A"/>
    <w:rsid w:val="00A44ED2"/>
    <w:rsid w:val="00A45320"/>
    <w:rsid w:val="00A47559"/>
    <w:rsid w:val="00A51778"/>
    <w:rsid w:val="00A52FCA"/>
    <w:rsid w:val="00A53BD1"/>
    <w:rsid w:val="00A53F65"/>
    <w:rsid w:val="00A54AA2"/>
    <w:rsid w:val="00A54AD7"/>
    <w:rsid w:val="00A54D62"/>
    <w:rsid w:val="00A57E37"/>
    <w:rsid w:val="00A60FB5"/>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5EE"/>
    <w:rsid w:val="00A8594B"/>
    <w:rsid w:val="00A862DF"/>
    <w:rsid w:val="00A86757"/>
    <w:rsid w:val="00A87228"/>
    <w:rsid w:val="00A87713"/>
    <w:rsid w:val="00A87ACB"/>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843"/>
    <w:rsid w:val="00AC0CB3"/>
    <w:rsid w:val="00AC1E14"/>
    <w:rsid w:val="00AC1F3C"/>
    <w:rsid w:val="00AC2602"/>
    <w:rsid w:val="00AC3110"/>
    <w:rsid w:val="00AC3FE6"/>
    <w:rsid w:val="00AC4114"/>
    <w:rsid w:val="00AC41B2"/>
    <w:rsid w:val="00AC4D6B"/>
    <w:rsid w:val="00AC71F2"/>
    <w:rsid w:val="00AD00E1"/>
    <w:rsid w:val="00AD079F"/>
    <w:rsid w:val="00AD1885"/>
    <w:rsid w:val="00AD2420"/>
    <w:rsid w:val="00AD292A"/>
    <w:rsid w:val="00AD2FC9"/>
    <w:rsid w:val="00AD3258"/>
    <w:rsid w:val="00AD478A"/>
    <w:rsid w:val="00AD4FEB"/>
    <w:rsid w:val="00AD5957"/>
    <w:rsid w:val="00AD5D84"/>
    <w:rsid w:val="00AD774A"/>
    <w:rsid w:val="00AD78AF"/>
    <w:rsid w:val="00AE1269"/>
    <w:rsid w:val="00AE12E0"/>
    <w:rsid w:val="00AE2C37"/>
    <w:rsid w:val="00AE48B4"/>
    <w:rsid w:val="00AE4EE7"/>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2CDF"/>
    <w:rsid w:val="00B036ED"/>
    <w:rsid w:val="00B03D9F"/>
    <w:rsid w:val="00B04761"/>
    <w:rsid w:val="00B0494B"/>
    <w:rsid w:val="00B05124"/>
    <w:rsid w:val="00B05333"/>
    <w:rsid w:val="00B06076"/>
    <w:rsid w:val="00B06BAD"/>
    <w:rsid w:val="00B10A05"/>
    <w:rsid w:val="00B11405"/>
    <w:rsid w:val="00B128A6"/>
    <w:rsid w:val="00B129E4"/>
    <w:rsid w:val="00B12BCA"/>
    <w:rsid w:val="00B13EA0"/>
    <w:rsid w:val="00B14802"/>
    <w:rsid w:val="00B1596A"/>
    <w:rsid w:val="00B20A4B"/>
    <w:rsid w:val="00B213BE"/>
    <w:rsid w:val="00B225EC"/>
    <w:rsid w:val="00B22BF0"/>
    <w:rsid w:val="00B23289"/>
    <w:rsid w:val="00B24B6B"/>
    <w:rsid w:val="00B24F24"/>
    <w:rsid w:val="00B25426"/>
    <w:rsid w:val="00B27805"/>
    <w:rsid w:val="00B27A3D"/>
    <w:rsid w:val="00B30E10"/>
    <w:rsid w:val="00B320C4"/>
    <w:rsid w:val="00B3447F"/>
    <w:rsid w:val="00B36050"/>
    <w:rsid w:val="00B369AD"/>
    <w:rsid w:val="00B37386"/>
    <w:rsid w:val="00B37EAF"/>
    <w:rsid w:val="00B37F1D"/>
    <w:rsid w:val="00B408F4"/>
    <w:rsid w:val="00B41C17"/>
    <w:rsid w:val="00B422FB"/>
    <w:rsid w:val="00B43147"/>
    <w:rsid w:val="00B43A3E"/>
    <w:rsid w:val="00B43CDE"/>
    <w:rsid w:val="00B453E2"/>
    <w:rsid w:val="00B45BA5"/>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0FAE"/>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7D3"/>
    <w:rsid w:val="00BA4998"/>
    <w:rsid w:val="00BA58B7"/>
    <w:rsid w:val="00BA5DAC"/>
    <w:rsid w:val="00BA6776"/>
    <w:rsid w:val="00BA7B6A"/>
    <w:rsid w:val="00BB0056"/>
    <w:rsid w:val="00BB104A"/>
    <w:rsid w:val="00BB18A5"/>
    <w:rsid w:val="00BB3272"/>
    <w:rsid w:val="00BB3C8B"/>
    <w:rsid w:val="00BB5361"/>
    <w:rsid w:val="00BB5969"/>
    <w:rsid w:val="00BB6613"/>
    <w:rsid w:val="00BB70AB"/>
    <w:rsid w:val="00BB7E71"/>
    <w:rsid w:val="00BC26D4"/>
    <w:rsid w:val="00BC38E8"/>
    <w:rsid w:val="00BC4176"/>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2C6A"/>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5AF2"/>
    <w:rsid w:val="00C56F61"/>
    <w:rsid w:val="00C5729E"/>
    <w:rsid w:val="00C57A1C"/>
    <w:rsid w:val="00C60A64"/>
    <w:rsid w:val="00C62347"/>
    <w:rsid w:val="00C6514B"/>
    <w:rsid w:val="00C655AE"/>
    <w:rsid w:val="00C65730"/>
    <w:rsid w:val="00C65A26"/>
    <w:rsid w:val="00C66889"/>
    <w:rsid w:val="00C70BA1"/>
    <w:rsid w:val="00C71C7A"/>
    <w:rsid w:val="00C72D3D"/>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2E"/>
    <w:rsid w:val="00C91B9A"/>
    <w:rsid w:val="00C91D34"/>
    <w:rsid w:val="00C921EB"/>
    <w:rsid w:val="00C92289"/>
    <w:rsid w:val="00C93C26"/>
    <w:rsid w:val="00C93F9E"/>
    <w:rsid w:val="00C9474F"/>
    <w:rsid w:val="00C952F2"/>
    <w:rsid w:val="00C953B8"/>
    <w:rsid w:val="00C959C3"/>
    <w:rsid w:val="00C965CF"/>
    <w:rsid w:val="00CA0905"/>
    <w:rsid w:val="00CA4BAA"/>
    <w:rsid w:val="00CA5213"/>
    <w:rsid w:val="00CA5384"/>
    <w:rsid w:val="00CA5570"/>
    <w:rsid w:val="00CA6217"/>
    <w:rsid w:val="00CA752C"/>
    <w:rsid w:val="00CA7C54"/>
    <w:rsid w:val="00CB06DB"/>
    <w:rsid w:val="00CB1E50"/>
    <w:rsid w:val="00CB39C2"/>
    <w:rsid w:val="00CB47DE"/>
    <w:rsid w:val="00CB5E59"/>
    <w:rsid w:val="00CB5E79"/>
    <w:rsid w:val="00CB6341"/>
    <w:rsid w:val="00CB681F"/>
    <w:rsid w:val="00CB6FED"/>
    <w:rsid w:val="00CB781E"/>
    <w:rsid w:val="00CC1989"/>
    <w:rsid w:val="00CC1B73"/>
    <w:rsid w:val="00CC1C61"/>
    <w:rsid w:val="00CC3902"/>
    <w:rsid w:val="00CC3E7C"/>
    <w:rsid w:val="00CC4E49"/>
    <w:rsid w:val="00CC55AA"/>
    <w:rsid w:val="00CC5963"/>
    <w:rsid w:val="00CC6253"/>
    <w:rsid w:val="00CC7343"/>
    <w:rsid w:val="00CC75D4"/>
    <w:rsid w:val="00CD0725"/>
    <w:rsid w:val="00CD1200"/>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6882"/>
    <w:rsid w:val="00CD744E"/>
    <w:rsid w:val="00CE3307"/>
    <w:rsid w:val="00CE3598"/>
    <w:rsid w:val="00CE41C4"/>
    <w:rsid w:val="00CE4FD4"/>
    <w:rsid w:val="00CE535F"/>
    <w:rsid w:val="00CE55FC"/>
    <w:rsid w:val="00CE583C"/>
    <w:rsid w:val="00CE78D3"/>
    <w:rsid w:val="00CE7AD3"/>
    <w:rsid w:val="00CE7F86"/>
    <w:rsid w:val="00CF0D36"/>
    <w:rsid w:val="00CF1ACD"/>
    <w:rsid w:val="00CF2F83"/>
    <w:rsid w:val="00CF39F5"/>
    <w:rsid w:val="00CF3ECC"/>
    <w:rsid w:val="00CF3FE7"/>
    <w:rsid w:val="00CF706F"/>
    <w:rsid w:val="00CF7FA1"/>
    <w:rsid w:val="00D000DE"/>
    <w:rsid w:val="00D002D6"/>
    <w:rsid w:val="00D003AC"/>
    <w:rsid w:val="00D005BF"/>
    <w:rsid w:val="00D00762"/>
    <w:rsid w:val="00D01302"/>
    <w:rsid w:val="00D018BC"/>
    <w:rsid w:val="00D01BD1"/>
    <w:rsid w:val="00D02040"/>
    <w:rsid w:val="00D03905"/>
    <w:rsid w:val="00D0396E"/>
    <w:rsid w:val="00D040AA"/>
    <w:rsid w:val="00D0441B"/>
    <w:rsid w:val="00D04971"/>
    <w:rsid w:val="00D04D22"/>
    <w:rsid w:val="00D05A7F"/>
    <w:rsid w:val="00D070F3"/>
    <w:rsid w:val="00D071A8"/>
    <w:rsid w:val="00D072E7"/>
    <w:rsid w:val="00D077D3"/>
    <w:rsid w:val="00D1026B"/>
    <w:rsid w:val="00D103A3"/>
    <w:rsid w:val="00D10686"/>
    <w:rsid w:val="00D1092F"/>
    <w:rsid w:val="00D10D03"/>
    <w:rsid w:val="00D11179"/>
    <w:rsid w:val="00D12E2E"/>
    <w:rsid w:val="00D137FC"/>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5E83"/>
    <w:rsid w:val="00D3615C"/>
    <w:rsid w:val="00D37002"/>
    <w:rsid w:val="00D406A9"/>
    <w:rsid w:val="00D4117B"/>
    <w:rsid w:val="00D4174D"/>
    <w:rsid w:val="00D42492"/>
    <w:rsid w:val="00D4272B"/>
    <w:rsid w:val="00D43329"/>
    <w:rsid w:val="00D455D7"/>
    <w:rsid w:val="00D45CC3"/>
    <w:rsid w:val="00D47939"/>
    <w:rsid w:val="00D50337"/>
    <w:rsid w:val="00D50672"/>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291"/>
    <w:rsid w:val="00D65C44"/>
    <w:rsid w:val="00D6660F"/>
    <w:rsid w:val="00D67C5F"/>
    <w:rsid w:val="00D71CB0"/>
    <w:rsid w:val="00D724F9"/>
    <w:rsid w:val="00D72700"/>
    <w:rsid w:val="00D72704"/>
    <w:rsid w:val="00D72CBF"/>
    <w:rsid w:val="00D73317"/>
    <w:rsid w:val="00D73F71"/>
    <w:rsid w:val="00D74B70"/>
    <w:rsid w:val="00D74FDC"/>
    <w:rsid w:val="00D75246"/>
    <w:rsid w:val="00D75968"/>
    <w:rsid w:val="00D762C1"/>
    <w:rsid w:val="00D76F97"/>
    <w:rsid w:val="00D776D3"/>
    <w:rsid w:val="00D7780A"/>
    <w:rsid w:val="00D77FB2"/>
    <w:rsid w:val="00D81165"/>
    <w:rsid w:val="00D811C0"/>
    <w:rsid w:val="00D822F8"/>
    <w:rsid w:val="00D8336A"/>
    <w:rsid w:val="00D835A2"/>
    <w:rsid w:val="00D84B98"/>
    <w:rsid w:val="00D84E29"/>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4466"/>
    <w:rsid w:val="00D95247"/>
    <w:rsid w:val="00D961DE"/>
    <w:rsid w:val="00D96845"/>
    <w:rsid w:val="00D9788B"/>
    <w:rsid w:val="00DA00A2"/>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D59E8"/>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5A88"/>
    <w:rsid w:val="00DF7280"/>
    <w:rsid w:val="00E00E7D"/>
    <w:rsid w:val="00E018E6"/>
    <w:rsid w:val="00E031B2"/>
    <w:rsid w:val="00E042C8"/>
    <w:rsid w:val="00E0462E"/>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5196"/>
    <w:rsid w:val="00E36291"/>
    <w:rsid w:val="00E369B2"/>
    <w:rsid w:val="00E36B77"/>
    <w:rsid w:val="00E372FE"/>
    <w:rsid w:val="00E3743E"/>
    <w:rsid w:val="00E374EF"/>
    <w:rsid w:val="00E37FB7"/>
    <w:rsid w:val="00E40AA4"/>
    <w:rsid w:val="00E42E5F"/>
    <w:rsid w:val="00E42F70"/>
    <w:rsid w:val="00E4460E"/>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032"/>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473"/>
    <w:rsid w:val="00E917CD"/>
    <w:rsid w:val="00E92168"/>
    <w:rsid w:val="00E92305"/>
    <w:rsid w:val="00E92BAD"/>
    <w:rsid w:val="00E94C47"/>
    <w:rsid w:val="00E95AAD"/>
    <w:rsid w:val="00E95E9A"/>
    <w:rsid w:val="00E96668"/>
    <w:rsid w:val="00E96A4C"/>
    <w:rsid w:val="00E97D9A"/>
    <w:rsid w:val="00EA00DA"/>
    <w:rsid w:val="00EA0421"/>
    <w:rsid w:val="00EA0F95"/>
    <w:rsid w:val="00EA2325"/>
    <w:rsid w:val="00EA2739"/>
    <w:rsid w:val="00EA3CAE"/>
    <w:rsid w:val="00EA5C26"/>
    <w:rsid w:val="00EA64F0"/>
    <w:rsid w:val="00EA7984"/>
    <w:rsid w:val="00EA7E43"/>
    <w:rsid w:val="00EB1CA4"/>
    <w:rsid w:val="00EB1F20"/>
    <w:rsid w:val="00EB2E80"/>
    <w:rsid w:val="00EB46E4"/>
    <w:rsid w:val="00EB4D3B"/>
    <w:rsid w:val="00EB544F"/>
    <w:rsid w:val="00EB5900"/>
    <w:rsid w:val="00EB688A"/>
    <w:rsid w:val="00EB765C"/>
    <w:rsid w:val="00EB7836"/>
    <w:rsid w:val="00EB78AE"/>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364"/>
    <w:rsid w:val="00ED6657"/>
    <w:rsid w:val="00ED78E2"/>
    <w:rsid w:val="00EE0852"/>
    <w:rsid w:val="00EE0DAE"/>
    <w:rsid w:val="00EE3F85"/>
    <w:rsid w:val="00EE5022"/>
    <w:rsid w:val="00EE518E"/>
    <w:rsid w:val="00EE5476"/>
    <w:rsid w:val="00EE662A"/>
    <w:rsid w:val="00EE6B87"/>
    <w:rsid w:val="00EE6D42"/>
    <w:rsid w:val="00EE71E9"/>
    <w:rsid w:val="00EE723E"/>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472"/>
    <w:rsid w:val="00F36BA4"/>
    <w:rsid w:val="00F36FBA"/>
    <w:rsid w:val="00F4035A"/>
    <w:rsid w:val="00F40B1D"/>
    <w:rsid w:val="00F41D62"/>
    <w:rsid w:val="00F425CC"/>
    <w:rsid w:val="00F425FF"/>
    <w:rsid w:val="00F4297F"/>
    <w:rsid w:val="00F42AE0"/>
    <w:rsid w:val="00F42AF2"/>
    <w:rsid w:val="00F4323A"/>
    <w:rsid w:val="00F436AA"/>
    <w:rsid w:val="00F44AA5"/>
    <w:rsid w:val="00F44C1C"/>
    <w:rsid w:val="00F45E81"/>
    <w:rsid w:val="00F47A18"/>
    <w:rsid w:val="00F47ACB"/>
    <w:rsid w:val="00F5023D"/>
    <w:rsid w:val="00F502FB"/>
    <w:rsid w:val="00F509EE"/>
    <w:rsid w:val="00F516E1"/>
    <w:rsid w:val="00F5223C"/>
    <w:rsid w:val="00F532C5"/>
    <w:rsid w:val="00F54E8B"/>
    <w:rsid w:val="00F55219"/>
    <w:rsid w:val="00F57708"/>
    <w:rsid w:val="00F57DEB"/>
    <w:rsid w:val="00F6022B"/>
    <w:rsid w:val="00F616F1"/>
    <w:rsid w:val="00F61B0A"/>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4CDF"/>
    <w:rsid w:val="00FA5345"/>
    <w:rsid w:val="00FA5B10"/>
    <w:rsid w:val="00FA5F59"/>
    <w:rsid w:val="00FA624B"/>
    <w:rsid w:val="00FA6E0D"/>
    <w:rsid w:val="00FA718F"/>
    <w:rsid w:val="00FB035D"/>
    <w:rsid w:val="00FB09E0"/>
    <w:rsid w:val="00FB10A1"/>
    <w:rsid w:val="00FB10B3"/>
    <w:rsid w:val="00FB176A"/>
    <w:rsid w:val="00FB2091"/>
    <w:rsid w:val="00FB4D2E"/>
    <w:rsid w:val="00FB515D"/>
    <w:rsid w:val="00FB588C"/>
    <w:rsid w:val="00FB6A82"/>
    <w:rsid w:val="00FB7803"/>
    <w:rsid w:val="00FC0A78"/>
    <w:rsid w:val="00FC1295"/>
    <w:rsid w:val="00FC130B"/>
    <w:rsid w:val="00FC1A1B"/>
    <w:rsid w:val="00FC2D22"/>
    <w:rsid w:val="00FC2E96"/>
    <w:rsid w:val="00FC4834"/>
    <w:rsid w:val="00FC4C04"/>
    <w:rsid w:val="00FC5F0A"/>
    <w:rsid w:val="00FC75A0"/>
    <w:rsid w:val="00FC7FC6"/>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144"/>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7475476">
      <w:bodyDiv w:val="1"/>
      <w:marLeft w:val="0"/>
      <w:marRight w:val="0"/>
      <w:marTop w:val="0"/>
      <w:marBottom w:val="0"/>
      <w:divBdr>
        <w:top w:val="none" w:sz="0" w:space="0" w:color="auto"/>
        <w:left w:val="none" w:sz="0" w:space="0" w:color="auto"/>
        <w:bottom w:val="none" w:sz="0" w:space="0" w:color="auto"/>
        <w:right w:val="none" w:sz="0" w:space="0" w:color="auto"/>
      </w:divBdr>
    </w:div>
    <w:div w:id="1037660394">
      <w:bodyDiv w:val="1"/>
      <w:marLeft w:val="0"/>
      <w:marRight w:val="0"/>
      <w:marTop w:val="0"/>
      <w:marBottom w:val="0"/>
      <w:divBdr>
        <w:top w:val="none" w:sz="0" w:space="0" w:color="auto"/>
        <w:left w:val="none" w:sz="0" w:space="0" w:color="auto"/>
        <w:bottom w:val="none" w:sz="0" w:space="0" w:color="auto"/>
        <w:right w:val="none" w:sz="0" w:space="0" w:color="auto"/>
      </w:divBdr>
    </w:div>
    <w:div w:id="1183546352">
      <w:bodyDiv w:val="1"/>
      <w:marLeft w:val="0"/>
      <w:marRight w:val="0"/>
      <w:marTop w:val="0"/>
      <w:marBottom w:val="0"/>
      <w:divBdr>
        <w:top w:val="none" w:sz="0" w:space="0" w:color="auto"/>
        <w:left w:val="none" w:sz="0" w:space="0" w:color="auto"/>
        <w:bottom w:val="none" w:sz="0" w:space="0" w:color="auto"/>
        <w:right w:val="none" w:sz="0" w:space="0" w:color="auto"/>
      </w:divBdr>
    </w:div>
    <w:div w:id="1608393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C4D648-5B55-4AF2-8BA4-1E79305FF2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9141</TotalTime>
  <Pages>9</Pages>
  <Words>7539</Words>
  <Characters>196</Characters>
  <Application>Microsoft Office Word</Application>
  <DocSecurity>0</DocSecurity>
  <Lines>1</Lines>
  <Paragraphs>15</Paragraphs>
  <ScaleCrop>false</ScaleCrop>
  <Company>ksi</Company>
  <LinksUpToDate>false</LinksUpToDate>
  <CharactersWithSpaces>7720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tnd</cp:lastModifiedBy>
  <cp:revision>1551</cp:revision>
  <cp:lastPrinted>2025-07-18T07:00:00Z</cp:lastPrinted>
  <dcterms:created xsi:type="dcterms:W3CDTF">2023-02-03T09:15:00Z</dcterms:created>
  <dcterms:modified xsi:type="dcterms:W3CDTF">2025-08-08T03:11:00Z</dcterms:modified>
</cp:coreProperties>
</file>